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C6" w:rsidRDefault="008D45C6" w:rsidP="00D0499E">
      <w:pPr>
        <w:rPr>
          <w:b/>
          <w:sz w:val="26"/>
        </w:rPr>
      </w:pPr>
    </w:p>
    <w:p w:rsidR="00D0499E" w:rsidRPr="005C53A1" w:rsidRDefault="00D0499E" w:rsidP="005D1267">
      <w:pPr>
        <w:jc w:val="both"/>
        <w:rPr>
          <w:b/>
          <w:bCs/>
          <w:iCs/>
          <w:sz w:val="26"/>
          <w:szCs w:val="26"/>
          <w:lang w:val="el-GR"/>
        </w:rPr>
      </w:pPr>
      <w:r w:rsidRPr="005C53A1">
        <w:rPr>
          <w:b/>
          <w:sz w:val="26"/>
          <w:lang w:val="el-GR"/>
        </w:rPr>
        <w:t xml:space="preserve">Νέα στοιχεία που παρουσιάστηκαν στο </w:t>
      </w:r>
      <w:r>
        <w:rPr>
          <w:b/>
          <w:sz w:val="26"/>
        </w:rPr>
        <w:t>ECTRIMS</w:t>
      </w:r>
      <w:r w:rsidRPr="005C53A1">
        <w:rPr>
          <w:b/>
          <w:sz w:val="26"/>
          <w:lang w:val="el-GR"/>
        </w:rPr>
        <w:t xml:space="preserve"> δείχνουν όφελος </w:t>
      </w:r>
      <w:r w:rsidR="003626A0">
        <w:rPr>
          <w:b/>
          <w:sz w:val="26"/>
          <w:lang w:val="el-GR"/>
        </w:rPr>
        <w:t>της φι</w:t>
      </w:r>
      <w:r w:rsidR="008D45C6">
        <w:rPr>
          <w:b/>
          <w:sz w:val="26"/>
          <w:lang w:val="el-GR"/>
        </w:rPr>
        <w:t>ν</w:t>
      </w:r>
      <w:r w:rsidR="003626A0">
        <w:rPr>
          <w:b/>
          <w:sz w:val="26"/>
          <w:lang w:val="el-GR"/>
        </w:rPr>
        <w:t>γκολιμόδης</w:t>
      </w:r>
      <w:r w:rsidR="003626A0" w:rsidRPr="005C53A1">
        <w:rPr>
          <w:b/>
          <w:sz w:val="26"/>
          <w:lang w:val="el-GR"/>
        </w:rPr>
        <w:t xml:space="preserve"> </w:t>
      </w:r>
      <w:r w:rsidRPr="005C53A1">
        <w:rPr>
          <w:b/>
          <w:sz w:val="26"/>
          <w:lang w:val="el-GR"/>
        </w:rPr>
        <w:t>στην εξέλιξη της αναπηρίας</w:t>
      </w:r>
      <w:r w:rsidR="003626A0">
        <w:rPr>
          <w:b/>
          <w:sz w:val="26"/>
          <w:lang w:val="el-GR"/>
        </w:rPr>
        <w:t xml:space="preserve"> </w:t>
      </w:r>
      <w:r w:rsidRPr="005C53A1">
        <w:rPr>
          <w:b/>
          <w:sz w:val="26"/>
          <w:lang w:val="el-GR"/>
        </w:rPr>
        <w:t>στα 10 έτη</w:t>
      </w:r>
      <w:r w:rsidR="00810EB5">
        <w:rPr>
          <w:b/>
          <w:sz w:val="26"/>
          <w:lang w:val="el-GR"/>
        </w:rPr>
        <w:t xml:space="preserve"> και μείωση του κινδύνου εξέλιξης σ</w:t>
      </w:r>
      <w:r w:rsidR="00F824D1">
        <w:rPr>
          <w:b/>
          <w:sz w:val="26"/>
          <w:lang w:val="el-GR"/>
        </w:rPr>
        <w:t>τη</w:t>
      </w:r>
      <w:r w:rsidR="003626A0">
        <w:rPr>
          <w:b/>
          <w:sz w:val="26"/>
          <w:lang w:val="el-GR"/>
        </w:rPr>
        <w:t xml:space="preserve"> Δευτεροπαθώς Προϊούσα ΠΣ</w:t>
      </w:r>
    </w:p>
    <w:p w:rsidR="00D0499E" w:rsidRPr="005C53A1" w:rsidRDefault="00D0499E" w:rsidP="00D0499E">
      <w:pPr>
        <w:rPr>
          <w:rFonts w:ascii="Arial" w:hAnsi="Arial"/>
          <w:sz w:val="22"/>
          <w:szCs w:val="22"/>
          <w:lang w:val="el-GR"/>
        </w:rPr>
      </w:pPr>
    </w:p>
    <w:p w:rsidR="00D0499E" w:rsidRPr="005C53A1" w:rsidRDefault="00D0499E" w:rsidP="005D1267">
      <w:pPr>
        <w:numPr>
          <w:ilvl w:val="0"/>
          <w:numId w:val="4"/>
        </w:numPr>
        <w:jc w:val="both"/>
        <w:rPr>
          <w:rFonts w:ascii="Arial" w:hAnsi="Arial" w:cs="Arial"/>
          <w:i/>
          <w:color w:val="000000"/>
          <w:sz w:val="22"/>
          <w:lang w:val="el-GR"/>
        </w:rPr>
      </w:pPr>
      <w:r w:rsidRPr="005C53A1">
        <w:rPr>
          <w:rFonts w:ascii="Arial" w:hAnsi="Arial"/>
          <w:i/>
          <w:color w:val="000000"/>
          <w:sz w:val="22"/>
          <w:lang w:val="el-GR"/>
        </w:rPr>
        <w:t xml:space="preserve">Η μελέτη </w:t>
      </w:r>
      <w:r>
        <w:rPr>
          <w:rFonts w:ascii="Arial" w:hAnsi="Arial"/>
          <w:i/>
          <w:color w:val="000000"/>
          <w:sz w:val="22"/>
        </w:rPr>
        <w:t>ACROSS</w:t>
      </w:r>
      <w:r w:rsidRPr="005C53A1">
        <w:rPr>
          <w:rFonts w:ascii="Arial" w:hAnsi="Arial"/>
          <w:i/>
          <w:color w:val="000000"/>
          <w:sz w:val="22"/>
          <w:lang w:val="el-GR"/>
        </w:rPr>
        <w:t xml:space="preserve"> δείχνει ότι οι ασθενείς με </w:t>
      </w:r>
      <w:r w:rsidR="009531FA" w:rsidRPr="005C53A1">
        <w:rPr>
          <w:rFonts w:ascii="Arial" w:hAnsi="Arial"/>
          <w:i/>
          <w:color w:val="000000"/>
          <w:sz w:val="22"/>
          <w:lang w:val="el-GR"/>
        </w:rPr>
        <w:t>Υ</w:t>
      </w:r>
      <w:r w:rsidRPr="005C53A1">
        <w:rPr>
          <w:rFonts w:ascii="Arial" w:hAnsi="Arial"/>
          <w:i/>
          <w:color w:val="000000"/>
          <w:sz w:val="22"/>
          <w:lang w:val="el-GR"/>
        </w:rPr>
        <w:t xml:space="preserve">ποτροπιάζουσα </w:t>
      </w:r>
      <w:r w:rsidR="009531FA" w:rsidRPr="005C53A1">
        <w:rPr>
          <w:rFonts w:ascii="Arial" w:hAnsi="Arial"/>
          <w:i/>
          <w:color w:val="000000"/>
          <w:sz w:val="22"/>
          <w:lang w:val="el-GR"/>
        </w:rPr>
        <w:t>Δ</w:t>
      </w:r>
      <w:r w:rsidRPr="005C53A1">
        <w:rPr>
          <w:rFonts w:ascii="Arial" w:hAnsi="Arial"/>
          <w:i/>
          <w:color w:val="000000"/>
          <w:sz w:val="22"/>
          <w:lang w:val="el-GR"/>
        </w:rPr>
        <w:t xml:space="preserve">ιαλείπουσα </w:t>
      </w:r>
      <w:r w:rsidR="009531FA" w:rsidRPr="005C53A1">
        <w:rPr>
          <w:rFonts w:ascii="Arial" w:hAnsi="Arial"/>
          <w:i/>
          <w:color w:val="000000"/>
          <w:sz w:val="22"/>
          <w:lang w:val="el-GR"/>
        </w:rPr>
        <w:t>Π</w:t>
      </w:r>
      <w:r w:rsidRPr="005C53A1">
        <w:rPr>
          <w:rFonts w:ascii="Arial" w:hAnsi="Arial"/>
          <w:i/>
          <w:color w:val="000000"/>
          <w:sz w:val="22"/>
          <w:lang w:val="el-GR"/>
        </w:rPr>
        <w:t xml:space="preserve">ολλαπλή </w:t>
      </w:r>
      <w:r w:rsidR="009531FA" w:rsidRPr="005C53A1">
        <w:rPr>
          <w:rFonts w:ascii="Arial" w:hAnsi="Arial"/>
          <w:i/>
          <w:color w:val="000000"/>
          <w:sz w:val="22"/>
          <w:lang w:val="el-GR"/>
        </w:rPr>
        <w:t>Σ</w:t>
      </w:r>
      <w:r w:rsidRPr="005C53A1">
        <w:rPr>
          <w:rFonts w:ascii="Arial" w:hAnsi="Arial"/>
          <w:i/>
          <w:color w:val="000000"/>
          <w:sz w:val="22"/>
          <w:lang w:val="el-GR"/>
        </w:rPr>
        <w:t>κλήρυνση (</w:t>
      </w:r>
      <w:r>
        <w:rPr>
          <w:rFonts w:ascii="Arial" w:hAnsi="Arial"/>
          <w:i/>
          <w:color w:val="000000"/>
          <w:sz w:val="22"/>
        </w:rPr>
        <w:t>RRMS</w:t>
      </w:r>
      <w:r w:rsidRPr="005C53A1">
        <w:rPr>
          <w:rFonts w:ascii="Arial" w:hAnsi="Arial"/>
          <w:i/>
          <w:color w:val="000000"/>
          <w:sz w:val="22"/>
          <w:lang w:val="el-GR"/>
        </w:rPr>
        <w:t>) πο</w:t>
      </w:r>
      <w:r w:rsidR="008D45C6">
        <w:rPr>
          <w:rFonts w:ascii="Arial" w:hAnsi="Arial"/>
          <w:i/>
          <w:color w:val="000000"/>
          <w:sz w:val="22"/>
          <w:lang w:val="el-GR"/>
        </w:rPr>
        <w:t>υ έλαβαν συνεχόμενη θεραπεία με</w:t>
      </w:r>
      <w:r w:rsidR="008D45C6" w:rsidRPr="008D45C6">
        <w:rPr>
          <w:rFonts w:ascii="Arial" w:hAnsi="Arial"/>
          <w:i/>
          <w:color w:val="000000"/>
          <w:sz w:val="22"/>
          <w:lang w:val="el-GR"/>
        </w:rPr>
        <w:t xml:space="preserve"> </w:t>
      </w:r>
      <w:r w:rsidR="008D45C6">
        <w:rPr>
          <w:rFonts w:ascii="Arial" w:hAnsi="Arial"/>
          <w:i/>
          <w:color w:val="000000"/>
          <w:sz w:val="22"/>
          <w:lang w:val="el-GR"/>
        </w:rPr>
        <w:t>φινγκολιμόδη</w:t>
      </w:r>
      <w:r w:rsidRPr="005C53A1">
        <w:rPr>
          <w:rFonts w:ascii="Arial" w:hAnsi="Arial"/>
          <w:i/>
          <w:color w:val="000000"/>
          <w:sz w:val="22"/>
          <w:lang w:val="el-GR"/>
        </w:rPr>
        <w:t xml:space="preserve"> είχαν σημαντικά μικρότερη εξέλιξη της αναπηρίας σε σύγκριση με </w:t>
      </w:r>
      <w:r w:rsidR="003626A0">
        <w:rPr>
          <w:rFonts w:ascii="Arial" w:hAnsi="Arial"/>
          <w:i/>
          <w:color w:val="000000"/>
          <w:sz w:val="22"/>
          <w:lang w:val="el-GR"/>
        </w:rPr>
        <w:t xml:space="preserve">αυτούς, </w:t>
      </w:r>
      <w:r w:rsidR="009531FA" w:rsidRPr="005C53A1">
        <w:rPr>
          <w:rFonts w:ascii="Arial" w:hAnsi="Arial"/>
          <w:i/>
          <w:color w:val="000000"/>
          <w:sz w:val="22"/>
          <w:lang w:val="el-GR"/>
        </w:rPr>
        <w:t xml:space="preserve">που </w:t>
      </w:r>
      <w:r w:rsidRPr="005C53A1">
        <w:rPr>
          <w:rFonts w:ascii="Arial" w:hAnsi="Arial"/>
          <w:i/>
          <w:color w:val="000000"/>
          <w:sz w:val="22"/>
          <w:lang w:val="el-GR"/>
        </w:rPr>
        <w:t xml:space="preserve">η θεραπεία </w:t>
      </w:r>
      <w:r w:rsidR="003626A0">
        <w:rPr>
          <w:rFonts w:ascii="Arial" w:hAnsi="Arial"/>
          <w:i/>
          <w:color w:val="000000"/>
          <w:sz w:val="22"/>
          <w:lang w:val="el-GR"/>
        </w:rPr>
        <w:t xml:space="preserve">τους </w:t>
      </w:r>
      <w:r w:rsidRPr="005C53A1">
        <w:rPr>
          <w:rFonts w:ascii="Arial" w:hAnsi="Arial"/>
          <w:i/>
          <w:color w:val="000000"/>
          <w:sz w:val="22"/>
          <w:lang w:val="el-GR"/>
        </w:rPr>
        <w:t xml:space="preserve">διεκόπη </w:t>
      </w:r>
    </w:p>
    <w:p w:rsidR="00D0499E" w:rsidRPr="005C53A1" w:rsidRDefault="00D0499E" w:rsidP="005D1267">
      <w:pPr>
        <w:ind w:left="360"/>
        <w:jc w:val="both"/>
        <w:rPr>
          <w:rFonts w:ascii="Arial" w:hAnsi="Arial" w:cs="Arial"/>
          <w:i/>
          <w:color w:val="000000"/>
          <w:sz w:val="22"/>
          <w:lang w:val="el-GR"/>
        </w:rPr>
      </w:pPr>
    </w:p>
    <w:p w:rsidR="00827AA9" w:rsidRPr="005C53A1" w:rsidRDefault="005956DE" w:rsidP="005D1267">
      <w:pPr>
        <w:pStyle w:val="ListParagraph"/>
        <w:numPr>
          <w:ilvl w:val="0"/>
          <w:numId w:val="4"/>
        </w:numPr>
        <w:jc w:val="both"/>
        <w:rPr>
          <w:rFonts w:ascii="Arial" w:hAnsi="Arial" w:cs="Arial"/>
          <w:i/>
          <w:color w:val="000000"/>
          <w:sz w:val="22"/>
          <w:lang w:val="el-GR"/>
        </w:rPr>
      </w:pPr>
      <w:r w:rsidRPr="005C53A1">
        <w:rPr>
          <w:rFonts w:ascii="Arial" w:hAnsi="Arial"/>
          <w:i/>
          <w:color w:val="000000"/>
          <w:sz w:val="22"/>
          <w:lang w:val="el-GR"/>
        </w:rPr>
        <w:t xml:space="preserve">Λιγότεροι ασθενείς που παρέμειναν σε θεραπεία με </w:t>
      </w:r>
      <w:r w:rsidR="008D45C6" w:rsidRPr="008D45C6">
        <w:rPr>
          <w:rFonts w:ascii="Arial" w:hAnsi="Arial"/>
          <w:i/>
          <w:color w:val="000000"/>
          <w:sz w:val="22"/>
          <w:lang w:val="el-GR"/>
        </w:rPr>
        <w:t xml:space="preserve">φινγκολιμόδη </w:t>
      </w:r>
      <w:r w:rsidRPr="005C53A1">
        <w:rPr>
          <w:rFonts w:ascii="Arial" w:hAnsi="Arial"/>
          <w:i/>
          <w:color w:val="000000"/>
          <w:sz w:val="22"/>
          <w:lang w:val="el-GR"/>
        </w:rPr>
        <w:t xml:space="preserve">για 8 έως 10 έτη ανέπτυξαν </w:t>
      </w:r>
      <w:r w:rsidR="009531FA" w:rsidRPr="005C53A1">
        <w:rPr>
          <w:rFonts w:ascii="Arial" w:hAnsi="Arial"/>
          <w:i/>
          <w:color w:val="000000"/>
          <w:sz w:val="22"/>
          <w:lang w:val="el-GR"/>
        </w:rPr>
        <w:t>Δ</w:t>
      </w:r>
      <w:r w:rsidRPr="005C53A1">
        <w:rPr>
          <w:rFonts w:ascii="Arial" w:hAnsi="Arial"/>
          <w:i/>
          <w:color w:val="000000"/>
          <w:sz w:val="22"/>
          <w:lang w:val="el-GR"/>
        </w:rPr>
        <w:t xml:space="preserve">ευτεροπαθώς </w:t>
      </w:r>
      <w:r w:rsidR="009531FA" w:rsidRPr="005C53A1">
        <w:rPr>
          <w:rFonts w:ascii="Arial" w:hAnsi="Arial"/>
          <w:i/>
          <w:color w:val="000000"/>
          <w:sz w:val="22"/>
          <w:lang w:val="el-GR"/>
        </w:rPr>
        <w:t>Π</w:t>
      </w:r>
      <w:r w:rsidRPr="005C53A1">
        <w:rPr>
          <w:rFonts w:ascii="Arial" w:hAnsi="Arial"/>
          <w:i/>
          <w:color w:val="000000"/>
          <w:sz w:val="22"/>
          <w:lang w:val="el-GR"/>
        </w:rPr>
        <w:t>ροϊούσα ΠΣ σε σύγκριση με αυτούς που τη διέκοψαν</w:t>
      </w:r>
    </w:p>
    <w:p w:rsidR="008E6F94" w:rsidRPr="005C53A1" w:rsidRDefault="008E6F94" w:rsidP="005D1267">
      <w:pPr>
        <w:jc w:val="both"/>
        <w:rPr>
          <w:rFonts w:ascii="Arial" w:hAnsi="Arial" w:cs="Arial"/>
          <w:i/>
          <w:color w:val="000000"/>
          <w:sz w:val="22"/>
          <w:lang w:val="el-GR"/>
        </w:rPr>
      </w:pPr>
    </w:p>
    <w:p w:rsidR="00D0499E" w:rsidRPr="005C53A1" w:rsidRDefault="00D0499E" w:rsidP="005D1267">
      <w:pPr>
        <w:numPr>
          <w:ilvl w:val="0"/>
          <w:numId w:val="4"/>
        </w:numPr>
        <w:jc w:val="both"/>
        <w:rPr>
          <w:rFonts w:ascii="Arial" w:hAnsi="Arial" w:cs="Arial"/>
          <w:i/>
          <w:color w:val="000000"/>
          <w:sz w:val="22"/>
          <w:lang w:val="el-GR"/>
        </w:rPr>
      </w:pPr>
      <w:r w:rsidRPr="005C53A1">
        <w:rPr>
          <w:rFonts w:ascii="Arial" w:hAnsi="Arial"/>
          <w:i/>
          <w:color w:val="000000"/>
          <w:sz w:val="22"/>
          <w:lang w:val="el-GR"/>
        </w:rPr>
        <w:t xml:space="preserve">Περίπου 60% των ασθενών που </w:t>
      </w:r>
      <w:r w:rsidR="003626A0">
        <w:rPr>
          <w:rFonts w:ascii="Arial" w:hAnsi="Arial"/>
          <w:i/>
          <w:color w:val="000000"/>
          <w:sz w:val="22"/>
          <w:lang w:val="el-GR"/>
        </w:rPr>
        <w:t xml:space="preserve">εντάχθηκαν </w:t>
      </w:r>
      <w:r w:rsidRPr="005C53A1">
        <w:rPr>
          <w:rFonts w:ascii="Arial" w:hAnsi="Arial"/>
          <w:i/>
          <w:color w:val="000000"/>
          <w:sz w:val="22"/>
          <w:lang w:val="el-GR"/>
        </w:rPr>
        <w:t xml:space="preserve">στην </w:t>
      </w:r>
      <w:r w:rsidR="003626A0">
        <w:rPr>
          <w:rFonts w:ascii="Arial" w:hAnsi="Arial"/>
          <w:i/>
          <w:color w:val="000000"/>
          <w:sz w:val="22"/>
          <w:lang w:val="el-GR"/>
        </w:rPr>
        <w:t xml:space="preserve">μελέτη </w:t>
      </w:r>
      <w:r>
        <w:rPr>
          <w:rFonts w:ascii="Arial" w:hAnsi="Arial"/>
          <w:i/>
          <w:color w:val="000000"/>
          <w:sz w:val="22"/>
        </w:rPr>
        <w:t>ACROSS</w:t>
      </w:r>
      <w:r w:rsidRPr="005C53A1">
        <w:rPr>
          <w:rFonts w:ascii="Arial" w:hAnsi="Arial"/>
          <w:i/>
          <w:color w:val="000000"/>
          <w:sz w:val="22"/>
          <w:lang w:val="el-GR"/>
        </w:rPr>
        <w:t xml:space="preserve"> παρέμειναν σε θεραπεία με </w:t>
      </w:r>
      <w:r w:rsidR="008D45C6" w:rsidRPr="008D45C6">
        <w:rPr>
          <w:rFonts w:ascii="Arial" w:hAnsi="Arial"/>
          <w:i/>
          <w:color w:val="000000"/>
          <w:sz w:val="22"/>
          <w:lang w:val="el-GR"/>
        </w:rPr>
        <w:t xml:space="preserve">φινγκολιμόδη </w:t>
      </w:r>
      <w:r w:rsidR="003626A0">
        <w:rPr>
          <w:rFonts w:ascii="Arial" w:hAnsi="Arial"/>
          <w:i/>
          <w:color w:val="000000"/>
          <w:sz w:val="22"/>
          <w:lang w:val="el-GR"/>
        </w:rPr>
        <w:t>επί</w:t>
      </w:r>
      <w:r w:rsidR="003626A0" w:rsidRPr="005C53A1">
        <w:rPr>
          <w:rFonts w:ascii="Arial" w:hAnsi="Arial"/>
          <w:i/>
          <w:color w:val="000000"/>
          <w:sz w:val="22"/>
          <w:lang w:val="el-GR"/>
        </w:rPr>
        <w:t xml:space="preserve"> </w:t>
      </w:r>
      <w:r w:rsidRPr="005C53A1">
        <w:rPr>
          <w:rFonts w:ascii="Arial" w:hAnsi="Arial"/>
          <w:i/>
          <w:color w:val="000000"/>
          <w:sz w:val="22"/>
          <w:lang w:val="el-GR"/>
        </w:rPr>
        <w:t xml:space="preserve">10 έτη, επιδεικνύοντας μακροχρόνια </w:t>
      </w:r>
      <w:r w:rsidR="009531FA" w:rsidRPr="005C53A1">
        <w:rPr>
          <w:rFonts w:ascii="Arial" w:hAnsi="Arial"/>
          <w:i/>
          <w:color w:val="000000"/>
          <w:sz w:val="22"/>
          <w:lang w:val="el-GR"/>
        </w:rPr>
        <w:t>παραμονή</w:t>
      </w:r>
      <w:r w:rsidRPr="005C53A1">
        <w:rPr>
          <w:rFonts w:ascii="Arial" w:hAnsi="Arial"/>
          <w:i/>
          <w:color w:val="000000"/>
          <w:sz w:val="22"/>
          <w:vertAlign w:val="superscript"/>
          <w:lang w:val="el-GR"/>
        </w:rPr>
        <w:t xml:space="preserve">1 </w:t>
      </w:r>
    </w:p>
    <w:p w:rsidR="00E8162E" w:rsidRPr="005C53A1" w:rsidRDefault="00E8162E" w:rsidP="00E8162E">
      <w:pPr>
        <w:jc w:val="both"/>
        <w:rPr>
          <w:rFonts w:asciiTheme="majorHAnsi" w:hAnsiTheme="majorHAnsi" w:cstheme="majorHAnsi"/>
          <w:lang w:val="el-GR"/>
        </w:rPr>
      </w:pPr>
    </w:p>
    <w:p w:rsidR="000B5D16" w:rsidRPr="005C53A1" w:rsidRDefault="008D45C6" w:rsidP="008D45C6">
      <w:pPr>
        <w:autoSpaceDE w:val="0"/>
        <w:autoSpaceDN w:val="0"/>
        <w:adjustRightInd w:val="0"/>
        <w:jc w:val="both"/>
        <w:rPr>
          <w:rFonts w:cstheme="minorHAnsi"/>
          <w:bCs/>
          <w:color w:val="000000"/>
          <w:lang w:val="el-GR"/>
        </w:rPr>
      </w:pPr>
      <w:r>
        <w:rPr>
          <w:rFonts w:cstheme="minorHAnsi"/>
          <w:b/>
          <w:color w:val="000000"/>
          <w:lang w:val="el-GR"/>
        </w:rPr>
        <w:t>Αθήνα</w:t>
      </w:r>
      <w:r w:rsidR="00784691" w:rsidRPr="005C53A1">
        <w:rPr>
          <w:rFonts w:cstheme="minorHAnsi"/>
          <w:b/>
          <w:color w:val="000000"/>
          <w:lang w:val="el-GR"/>
        </w:rPr>
        <w:t xml:space="preserve">, </w:t>
      </w:r>
      <w:r w:rsidR="005228B3" w:rsidRPr="005228B3">
        <w:rPr>
          <w:rFonts w:cstheme="minorHAnsi"/>
          <w:b/>
          <w:color w:val="000000"/>
          <w:lang w:val="el-GR"/>
        </w:rPr>
        <w:t>23</w:t>
      </w:r>
      <w:r w:rsidR="00784691" w:rsidRPr="005C53A1">
        <w:rPr>
          <w:rFonts w:cstheme="minorHAnsi"/>
          <w:b/>
          <w:color w:val="000000"/>
          <w:lang w:val="el-GR"/>
        </w:rPr>
        <w:t xml:space="preserve"> Σεπτεμβρίου 2016</w:t>
      </w:r>
      <w:r w:rsidR="00784691" w:rsidRPr="005C53A1">
        <w:rPr>
          <w:rFonts w:cstheme="minorHAnsi"/>
          <w:color w:val="000000"/>
          <w:lang w:val="el-GR"/>
        </w:rPr>
        <w:t xml:space="preserve"> </w:t>
      </w:r>
      <w:r w:rsidR="00784691" w:rsidRPr="005C53A1">
        <w:rPr>
          <w:rFonts w:cstheme="minorHAnsi"/>
          <w:b/>
          <w:lang w:val="el-GR"/>
        </w:rPr>
        <w:t xml:space="preserve">– </w:t>
      </w:r>
      <w:r w:rsidR="00784691" w:rsidRPr="005C53A1">
        <w:rPr>
          <w:rFonts w:cstheme="minorHAnsi"/>
          <w:color w:val="000000"/>
          <w:lang w:val="el-GR"/>
        </w:rPr>
        <w:t>Η Ν</w:t>
      </w:r>
      <w:r w:rsidR="00784691">
        <w:rPr>
          <w:rFonts w:cstheme="minorHAnsi"/>
          <w:color w:val="000000"/>
        </w:rPr>
        <w:t>ovartis</w:t>
      </w:r>
      <w:r w:rsidR="00784691" w:rsidRPr="005C53A1">
        <w:rPr>
          <w:rFonts w:cstheme="minorHAnsi"/>
          <w:color w:val="000000"/>
          <w:lang w:val="el-GR"/>
        </w:rPr>
        <w:t xml:space="preserve"> ανακοίνωσε νέα στοιχεία από τη μελέτη </w:t>
      </w:r>
      <w:r w:rsidR="00784691">
        <w:rPr>
          <w:rFonts w:cstheme="minorHAnsi"/>
          <w:color w:val="000000"/>
        </w:rPr>
        <w:t>ACROSS</w:t>
      </w:r>
      <w:r w:rsidR="00784691" w:rsidRPr="005C53A1">
        <w:rPr>
          <w:rFonts w:cstheme="minorHAnsi"/>
          <w:color w:val="000000"/>
          <w:lang w:val="el-GR"/>
        </w:rPr>
        <w:t xml:space="preserve">, η οποία αξιολόγησε δεκαετή αποτελέσματα αναπηρίας σε ανθρώπους με </w:t>
      </w:r>
      <w:r w:rsidR="00025016">
        <w:rPr>
          <w:rFonts w:cstheme="minorHAnsi"/>
          <w:color w:val="000000"/>
          <w:lang w:val="el-GR"/>
        </w:rPr>
        <w:t>Υ</w:t>
      </w:r>
      <w:r w:rsidR="00784691" w:rsidRPr="005C53A1">
        <w:rPr>
          <w:rFonts w:cstheme="minorHAnsi"/>
          <w:color w:val="000000"/>
          <w:lang w:val="el-GR"/>
        </w:rPr>
        <w:t xml:space="preserve">ποτροπιάζουσα </w:t>
      </w:r>
      <w:r w:rsidR="00025016">
        <w:rPr>
          <w:rFonts w:cstheme="minorHAnsi"/>
          <w:color w:val="000000"/>
          <w:lang w:val="el-GR"/>
        </w:rPr>
        <w:t>Δ</w:t>
      </w:r>
      <w:r w:rsidR="00784691" w:rsidRPr="005C53A1">
        <w:rPr>
          <w:rFonts w:cstheme="minorHAnsi"/>
          <w:color w:val="000000"/>
          <w:lang w:val="el-GR"/>
        </w:rPr>
        <w:t xml:space="preserve">ιαλείπουσα </w:t>
      </w:r>
      <w:r w:rsidR="00025016">
        <w:rPr>
          <w:rFonts w:cstheme="minorHAnsi"/>
          <w:color w:val="000000"/>
          <w:lang w:val="el-GR"/>
        </w:rPr>
        <w:t>Π</w:t>
      </w:r>
      <w:r w:rsidR="00784691" w:rsidRPr="005C53A1">
        <w:rPr>
          <w:rFonts w:cstheme="minorHAnsi"/>
          <w:color w:val="000000"/>
          <w:lang w:val="el-GR"/>
        </w:rPr>
        <w:t xml:space="preserve">ολλαπλή </w:t>
      </w:r>
      <w:r w:rsidR="00025016">
        <w:rPr>
          <w:rFonts w:cstheme="minorHAnsi"/>
          <w:color w:val="000000"/>
          <w:lang w:val="el-GR"/>
        </w:rPr>
        <w:t>Σ</w:t>
      </w:r>
      <w:r w:rsidR="00784691" w:rsidRPr="005C53A1">
        <w:rPr>
          <w:rFonts w:cstheme="minorHAnsi"/>
          <w:color w:val="000000"/>
          <w:lang w:val="el-GR"/>
        </w:rPr>
        <w:t>κλήρυνση (</w:t>
      </w:r>
      <w:r w:rsidR="00784691">
        <w:rPr>
          <w:rFonts w:cstheme="minorHAnsi"/>
          <w:color w:val="000000"/>
        </w:rPr>
        <w:t>RRMS</w:t>
      </w:r>
      <w:r w:rsidR="00784691" w:rsidRPr="005C53A1">
        <w:rPr>
          <w:rFonts w:cstheme="minorHAnsi"/>
          <w:color w:val="000000"/>
          <w:lang w:val="el-GR"/>
        </w:rPr>
        <w:t xml:space="preserve">), οι οποίοι ακολούθησαν θεραπεία με </w:t>
      </w:r>
      <w:r>
        <w:rPr>
          <w:rFonts w:cstheme="minorHAnsi"/>
          <w:color w:val="000000"/>
          <w:lang w:val="el-GR"/>
        </w:rPr>
        <w:t>φινγκολιμόδη</w:t>
      </w:r>
      <w:r w:rsidR="00784691" w:rsidRPr="005C53A1">
        <w:rPr>
          <w:rFonts w:cstheme="minorHAnsi"/>
          <w:color w:val="000000"/>
          <w:lang w:val="el-GR"/>
        </w:rPr>
        <w:t xml:space="preserve">. Τα αποτελέσματα αυτά </w:t>
      </w:r>
      <w:r w:rsidR="00EB1109">
        <w:rPr>
          <w:rFonts w:cstheme="minorHAnsi"/>
          <w:color w:val="000000"/>
          <w:lang w:val="el-GR"/>
        </w:rPr>
        <w:t>υποστηρίζουν την</w:t>
      </w:r>
      <w:r w:rsidR="00784691" w:rsidRPr="005C53A1">
        <w:rPr>
          <w:rFonts w:cstheme="minorHAnsi"/>
          <w:color w:val="000000"/>
          <w:lang w:val="el-GR"/>
        </w:rPr>
        <w:t xml:space="preserve"> μακροχρόνια αποτελεσματικότητα της συνεχόμενης θεραπείας με </w:t>
      </w:r>
      <w:r w:rsidRPr="008D45C6">
        <w:rPr>
          <w:rFonts w:cstheme="minorHAnsi"/>
          <w:color w:val="000000"/>
          <w:lang w:val="el-GR"/>
        </w:rPr>
        <w:t>φινγκολιμόδη</w:t>
      </w:r>
      <w:r w:rsidR="00EB1109">
        <w:rPr>
          <w:rFonts w:cstheme="minorHAnsi"/>
          <w:color w:val="000000"/>
          <w:lang w:val="el-GR"/>
        </w:rPr>
        <w:t>,</w:t>
      </w:r>
      <w:r w:rsidR="00784691" w:rsidRPr="005C53A1">
        <w:rPr>
          <w:rFonts w:cstheme="minorHAnsi"/>
          <w:color w:val="000000"/>
          <w:lang w:val="el-GR"/>
        </w:rPr>
        <w:t xml:space="preserve"> </w:t>
      </w:r>
      <w:r w:rsidR="00EB1109">
        <w:rPr>
          <w:rFonts w:cstheme="minorHAnsi"/>
          <w:color w:val="000000"/>
          <w:lang w:val="el-GR"/>
        </w:rPr>
        <w:t>σ</w:t>
      </w:r>
      <w:r w:rsidR="00784691" w:rsidRPr="005C53A1">
        <w:rPr>
          <w:rFonts w:cstheme="minorHAnsi"/>
          <w:color w:val="000000"/>
          <w:lang w:val="el-GR"/>
        </w:rPr>
        <w:t>τον έλεγχο της εξέλιξης της αναπηρίας. Τα πλήρη αποτελέσματα παρουσιάστηκαν στο 32ο συνέδριο της Ευρωπαϊκής Επιτροπής για τη Θεραπεία και την Έρευνα της Πολλαπλής Σκλήρυνσης (</w:t>
      </w:r>
      <w:r w:rsidR="00784691">
        <w:rPr>
          <w:rFonts w:cstheme="minorHAnsi"/>
          <w:color w:val="000000"/>
        </w:rPr>
        <w:t>ECTRIMS</w:t>
      </w:r>
      <w:r w:rsidR="00784691" w:rsidRPr="005C53A1">
        <w:rPr>
          <w:rFonts w:cstheme="minorHAnsi"/>
          <w:color w:val="000000"/>
          <w:lang w:val="el-GR"/>
        </w:rPr>
        <w:t>) στο Λονδίνο.</w:t>
      </w:r>
    </w:p>
    <w:p w:rsidR="001B0A45" w:rsidRPr="005C53A1" w:rsidRDefault="001B0A45" w:rsidP="008D45C6">
      <w:pPr>
        <w:autoSpaceDE w:val="0"/>
        <w:autoSpaceDN w:val="0"/>
        <w:adjustRightInd w:val="0"/>
        <w:jc w:val="both"/>
        <w:rPr>
          <w:rFonts w:cstheme="minorHAnsi"/>
          <w:bCs/>
          <w:color w:val="000000"/>
          <w:lang w:val="el-GR"/>
        </w:rPr>
      </w:pPr>
    </w:p>
    <w:p w:rsidR="00810EB5" w:rsidRDefault="00C16508" w:rsidP="008D45C6">
      <w:pPr>
        <w:jc w:val="both"/>
        <w:rPr>
          <w:rFonts w:cstheme="minorHAnsi"/>
          <w:color w:val="000000"/>
          <w:lang w:val="el-GR"/>
        </w:rPr>
      </w:pPr>
      <w:r w:rsidRPr="005C53A1">
        <w:rPr>
          <w:lang w:val="el-GR"/>
        </w:rPr>
        <w:t xml:space="preserve">Η </w:t>
      </w:r>
      <w:r>
        <w:rPr>
          <w:rFonts w:cstheme="minorHAnsi"/>
          <w:color w:val="000000"/>
        </w:rPr>
        <w:t>ACROSS</w:t>
      </w:r>
      <w:r w:rsidRPr="005C53A1">
        <w:rPr>
          <w:rFonts w:cstheme="minorHAnsi"/>
          <w:color w:val="000000"/>
          <w:lang w:val="el-GR"/>
        </w:rPr>
        <w:t xml:space="preserve"> είναι μία μελέτη παρατήρησης</w:t>
      </w:r>
      <w:r w:rsidR="00025016">
        <w:rPr>
          <w:rFonts w:cstheme="minorHAnsi"/>
          <w:color w:val="000000"/>
          <w:lang w:val="el-GR"/>
        </w:rPr>
        <w:t>,</w:t>
      </w:r>
      <w:r w:rsidRPr="005C53A1">
        <w:rPr>
          <w:rFonts w:cstheme="minorHAnsi"/>
          <w:color w:val="000000"/>
          <w:lang w:val="el-GR"/>
        </w:rPr>
        <w:t xml:space="preserve"> 175 ατόμων που είχαν </w:t>
      </w:r>
      <w:r w:rsidR="00EB1109">
        <w:rPr>
          <w:rFonts w:cstheme="minorHAnsi"/>
          <w:color w:val="000000"/>
          <w:lang w:val="el-GR"/>
        </w:rPr>
        <w:t>αρχικά ενταχθεί</w:t>
      </w:r>
      <w:r w:rsidRPr="005C53A1">
        <w:rPr>
          <w:rFonts w:cstheme="minorHAnsi"/>
          <w:color w:val="000000"/>
          <w:lang w:val="el-GR"/>
        </w:rPr>
        <w:t xml:space="preserve"> στη μελέτη φάσης </w:t>
      </w:r>
      <w:r>
        <w:rPr>
          <w:rFonts w:cstheme="minorHAnsi"/>
          <w:color w:val="000000"/>
        </w:rPr>
        <w:t>II</w:t>
      </w:r>
      <w:r w:rsidRPr="005C53A1">
        <w:rPr>
          <w:rFonts w:cstheme="minorHAnsi"/>
          <w:color w:val="000000"/>
          <w:lang w:val="el-GR"/>
        </w:rPr>
        <w:t xml:space="preserve"> της φινγκολιμόδης στην </w:t>
      </w:r>
      <w:r>
        <w:rPr>
          <w:rFonts w:cstheme="minorHAnsi"/>
          <w:color w:val="000000"/>
        </w:rPr>
        <w:t>RRMS</w:t>
      </w:r>
      <w:r w:rsidRPr="005C53A1">
        <w:rPr>
          <w:rFonts w:cstheme="minorHAnsi"/>
          <w:color w:val="000000"/>
          <w:lang w:val="el-GR"/>
        </w:rPr>
        <w:t>.</w:t>
      </w:r>
      <w:r w:rsidRPr="005C53A1">
        <w:rPr>
          <w:rFonts w:cstheme="minorHAnsi"/>
          <w:color w:val="000000"/>
          <w:vertAlign w:val="superscript"/>
          <w:lang w:val="el-GR"/>
        </w:rPr>
        <w:t>1</w:t>
      </w:r>
      <w:r w:rsidRPr="005C53A1">
        <w:rPr>
          <w:rFonts w:cstheme="minorHAnsi"/>
          <w:color w:val="000000"/>
          <w:lang w:val="el-GR"/>
        </w:rPr>
        <w:t xml:space="preserve"> Η μελέτη </w:t>
      </w:r>
      <w:r w:rsidR="00034E5C">
        <w:rPr>
          <w:rFonts w:cstheme="minorHAnsi"/>
          <w:color w:val="000000"/>
          <w:lang w:val="el-GR"/>
        </w:rPr>
        <w:t xml:space="preserve">συνέκρινε </w:t>
      </w:r>
      <w:r w:rsidR="004D0FA9">
        <w:rPr>
          <w:rFonts w:cstheme="minorHAnsi"/>
          <w:color w:val="000000"/>
          <w:lang w:val="el-GR"/>
        </w:rPr>
        <w:t xml:space="preserve">τους ασθενείς που έλαβαν συνεχόμενη αγωγή με </w:t>
      </w:r>
      <w:r w:rsidR="008D45C6" w:rsidRPr="008D45C6">
        <w:rPr>
          <w:rFonts w:cstheme="minorHAnsi"/>
          <w:color w:val="000000"/>
          <w:lang w:val="el-GR"/>
        </w:rPr>
        <w:t xml:space="preserve">φινγκολιμόδη </w:t>
      </w:r>
      <w:r w:rsidR="004D0FA9">
        <w:rPr>
          <w:rFonts w:cstheme="minorHAnsi"/>
          <w:color w:val="000000"/>
          <w:lang w:val="el-GR"/>
        </w:rPr>
        <w:t xml:space="preserve">επί 8-10 έτη με τους ασθενείς που δεν έλαβαν συνεχόμενη θεραπεία με </w:t>
      </w:r>
      <w:r w:rsidR="008D45C6" w:rsidRPr="008D45C6">
        <w:rPr>
          <w:rFonts w:cstheme="minorHAnsi"/>
          <w:color w:val="000000"/>
          <w:lang w:val="el-GR"/>
        </w:rPr>
        <w:t>φινγκολιμόδη</w:t>
      </w:r>
      <w:r w:rsidR="004D0FA9">
        <w:rPr>
          <w:rFonts w:cstheme="minorHAnsi"/>
          <w:color w:val="000000"/>
          <w:lang w:val="el-GR"/>
        </w:rPr>
        <w:t xml:space="preserve">. Αξιολογήθηκε η εξέλιξη της αναπηρίας τους στα 10 έτη, σε σχέση με την αρχική τους κατάσταση. Η βαθμολόγηση της αναπηρίας έγινε με την </w:t>
      </w:r>
      <w:r w:rsidR="004D0FA9" w:rsidRPr="00AD42AA">
        <w:rPr>
          <w:rFonts w:cstheme="minorHAnsi"/>
          <w:color w:val="000000"/>
          <w:lang w:val="el-GR"/>
        </w:rPr>
        <w:t>Διευρυμένη Κλίμακα Κατάστασης Αναπηρίας</w:t>
      </w:r>
      <w:r w:rsidR="004D0FA9">
        <w:rPr>
          <w:rFonts w:cstheme="minorHAnsi"/>
          <w:color w:val="000000"/>
          <w:lang w:val="el-GR"/>
        </w:rPr>
        <w:t xml:space="preserve"> (</w:t>
      </w:r>
      <w:r w:rsidR="004D0FA9">
        <w:rPr>
          <w:rFonts w:cstheme="minorHAnsi"/>
          <w:color w:val="000000"/>
        </w:rPr>
        <w:t>EDSS</w:t>
      </w:r>
      <w:r w:rsidR="004D0FA9" w:rsidRPr="00AD42AA">
        <w:rPr>
          <w:rFonts w:cstheme="minorHAnsi"/>
          <w:color w:val="000000"/>
          <w:lang w:val="el-GR"/>
        </w:rPr>
        <w:t>)</w:t>
      </w:r>
      <w:r w:rsidR="004D0FA9">
        <w:rPr>
          <w:rFonts w:cstheme="minorHAnsi"/>
          <w:color w:val="000000"/>
          <w:lang w:val="el-GR"/>
        </w:rPr>
        <w:t xml:space="preserve">. Η μελέτη </w:t>
      </w:r>
      <w:r w:rsidR="00034E5C">
        <w:rPr>
          <w:rFonts w:cstheme="minorHAnsi"/>
          <w:color w:val="000000"/>
          <w:lang w:val="el-GR"/>
        </w:rPr>
        <w:t xml:space="preserve">πέτυχε </w:t>
      </w:r>
      <w:r w:rsidRPr="005C53A1">
        <w:rPr>
          <w:rFonts w:cstheme="minorHAnsi"/>
          <w:color w:val="000000"/>
          <w:lang w:val="el-GR"/>
        </w:rPr>
        <w:t>το πρωτεύον καταληκτικό της σημείο</w:t>
      </w:r>
      <w:r w:rsidR="004D0FA9">
        <w:rPr>
          <w:rFonts w:cstheme="minorHAnsi"/>
          <w:color w:val="000000"/>
          <w:lang w:val="el-GR"/>
        </w:rPr>
        <w:t>,</w:t>
      </w:r>
      <w:r w:rsidRPr="005C53A1">
        <w:rPr>
          <w:rFonts w:cstheme="minorHAnsi"/>
          <w:color w:val="000000"/>
          <w:lang w:val="el-GR"/>
        </w:rPr>
        <w:t xml:space="preserve"> </w:t>
      </w:r>
      <w:r w:rsidR="00034E5C">
        <w:rPr>
          <w:rFonts w:cstheme="minorHAnsi"/>
          <w:color w:val="000000"/>
          <w:lang w:val="el-GR"/>
        </w:rPr>
        <w:t xml:space="preserve">αποδεικνύοντας </w:t>
      </w:r>
      <w:r w:rsidR="00034E5C" w:rsidRPr="00BD1CAC">
        <w:rPr>
          <w:rFonts w:cstheme="minorHAnsi"/>
          <w:color w:val="000000"/>
          <w:lang w:val="el-GR"/>
        </w:rPr>
        <w:t xml:space="preserve">σημαντικά χαμηλότερη </w:t>
      </w:r>
      <w:r w:rsidR="00034E5C">
        <w:rPr>
          <w:rFonts w:cstheme="minorHAnsi"/>
          <w:color w:val="000000"/>
          <w:lang w:val="el-GR"/>
        </w:rPr>
        <w:t>επιδείνωση της αναπηρίας στα</w:t>
      </w:r>
      <w:r w:rsidR="00034E5C" w:rsidRPr="00BD1CAC">
        <w:rPr>
          <w:rFonts w:cstheme="minorHAnsi"/>
          <w:color w:val="000000"/>
          <w:lang w:val="el-GR"/>
        </w:rPr>
        <w:t xml:space="preserve"> 10 έτη </w:t>
      </w:r>
      <w:r w:rsidR="004D0FA9">
        <w:rPr>
          <w:rFonts w:cstheme="minorHAnsi"/>
          <w:color w:val="000000"/>
          <w:lang w:val="el-GR"/>
        </w:rPr>
        <w:t xml:space="preserve">των ασθενών που έλαβαν </w:t>
      </w:r>
      <w:r w:rsidR="00034E5C">
        <w:rPr>
          <w:rFonts w:cstheme="minorHAnsi"/>
          <w:color w:val="000000"/>
          <w:lang w:val="el-GR"/>
        </w:rPr>
        <w:t xml:space="preserve">συνεχόμενη μακροχρόνια θεραπεία με </w:t>
      </w:r>
      <w:r w:rsidR="008D45C6" w:rsidRPr="008D45C6">
        <w:rPr>
          <w:rFonts w:cstheme="minorHAnsi"/>
          <w:color w:val="000000"/>
          <w:lang w:val="el-GR"/>
        </w:rPr>
        <w:t xml:space="preserve">φινγκολιμόδη </w:t>
      </w:r>
      <w:r w:rsidRPr="005C53A1">
        <w:rPr>
          <w:rFonts w:cstheme="minorHAnsi"/>
          <w:color w:val="000000"/>
          <w:lang w:val="el-GR"/>
        </w:rPr>
        <w:t xml:space="preserve">(0,55 έναντι 1,21, αντίστοιχα· </w:t>
      </w:r>
      <w:r>
        <w:rPr>
          <w:rFonts w:cstheme="minorHAnsi"/>
          <w:color w:val="000000"/>
        </w:rPr>
        <w:t>p</w:t>
      </w:r>
      <w:r w:rsidRPr="005C53A1">
        <w:rPr>
          <w:rFonts w:cstheme="minorHAnsi"/>
          <w:color w:val="000000"/>
          <w:lang w:val="el-GR"/>
        </w:rPr>
        <w:t>=0,0155).</w:t>
      </w:r>
      <w:r w:rsidRPr="005C53A1">
        <w:rPr>
          <w:rFonts w:cstheme="minorHAnsi"/>
          <w:color w:val="000000"/>
          <w:vertAlign w:val="superscript"/>
          <w:lang w:val="el-GR"/>
        </w:rPr>
        <w:t>1</w:t>
      </w:r>
      <w:r w:rsidRPr="005C53A1">
        <w:rPr>
          <w:rFonts w:cstheme="minorHAnsi"/>
          <w:color w:val="000000"/>
          <w:lang w:val="el-GR"/>
        </w:rPr>
        <w:t xml:space="preserve"> </w:t>
      </w:r>
    </w:p>
    <w:p w:rsidR="00810EB5" w:rsidRDefault="00810EB5" w:rsidP="008D45C6">
      <w:pPr>
        <w:jc w:val="both"/>
        <w:rPr>
          <w:rFonts w:cstheme="minorHAnsi"/>
          <w:color w:val="000000"/>
          <w:lang w:val="el-GR"/>
        </w:rPr>
      </w:pPr>
    </w:p>
    <w:p w:rsidR="009C230E" w:rsidRPr="005C53A1" w:rsidRDefault="00C16508" w:rsidP="008D45C6">
      <w:pPr>
        <w:jc w:val="both"/>
        <w:rPr>
          <w:rFonts w:cstheme="minorHAnsi"/>
          <w:color w:val="000000"/>
          <w:lang w:val="el-GR"/>
        </w:rPr>
      </w:pPr>
      <w:r w:rsidRPr="005C53A1">
        <w:rPr>
          <w:rFonts w:cstheme="minorHAnsi"/>
          <w:color w:val="000000"/>
          <w:lang w:val="el-GR"/>
        </w:rPr>
        <w:t xml:space="preserve">Αναλύσεις των κύριων δευτερευόντων καταληκτικών σημείων έδειξαν ότι μετά από 10 έτη, </w:t>
      </w:r>
      <w:r w:rsidRPr="005C53A1">
        <w:rPr>
          <w:rFonts w:cstheme="minorHAnsi"/>
          <w:b/>
          <w:color w:val="000000"/>
          <w:lang w:val="el-GR"/>
        </w:rPr>
        <w:t xml:space="preserve">ο κίνδυνος εξέλιξης σε </w:t>
      </w:r>
      <w:r w:rsidR="00025016" w:rsidRPr="005C53A1">
        <w:rPr>
          <w:rFonts w:cstheme="minorHAnsi"/>
          <w:b/>
          <w:color w:val="000000"/>
          <w:lang w:val="el-GR"/>
        </w:rPr>
        <w:t>Δ</w:t>
      </w:r>
      <w:r w:rsidRPr="005C53A1">
        <w:rPr>
          <w:rFonts w:cstheme="minorHAnsi"/>
          <w:b/>
          <w:color w:val="000000"/>
          <w:lang w:val="el-GR"/>
        </w:rPr>
        <w:t xml:space="preserve">ευτεροπαθώς </w:t>
      </w:r>
      <w:r w:rsidR="00025016" w:rsidRPr="005C53A1">
        <w:rPr>
          <w:rFonts w:cstheme="minorHAnsi"/>
          <w:b/>
          <w:color w:val="000000"/>
          <w:lang w:val="el-GR"/>
        </w:rPr>
        <w:t>Π</w:t>
      </w:r>
      <w:r w:rsidRPr="005C53A1">
        <w:rPr>
          <w:rFonts w:cstheme="minorHAnsi"/>
          <w:b/>
          <w:color w:val="000000"/>
          <w:lang w:val="el-GR"/>
        </w:rPr>
        <w:t>ροϊούσα ΠΣ (</w:t>
      </w:r>
      <w:r w:rsidRPr="005C53A1">
        <w:rPr>
          <w:rFonts w:cstheme="minorHAnsi"/>
          <w:b/>
          <w:color w:val="000000"/>
        </w:rPr>
        <w:t>SPMS</w:t>
      </w:r>
      <w:r w:rsidRPr="005C53A1">
        <w:rPr>
          <w:rFonts w:cstheme="minorHAnsi"/>
          <w:b/>
          <w:color w:val="000000"/>
          <w:lang w:val="el-GR"/>
        </w:rPr>
        <w:t xml:space="preserve">) μειώθηκε κατά 66,2% στους ασθενείς που παρέμειναν στη θεραπεία με </w:t>
      </w:r>
      <w:r w:rsidR="008D45C6" w:rsidRPr="008D45C6">
        <w:rPr>
          <w:rFonts w:cstheme="minorHAnsi"/>
          <w:b/>
          <w:color w:val="000000"/>
          <w:lang w:val="el-GR"/>
        </w:rPr>
        <w:t xml:space="preserve">φινγκολιμόδη </w:t>
      </w:r>
      <w:r w:rsidRPr="005C53A1">
        <w:rPr>
          <w:rFonts w:cstheme="minorHAnsi"/>
          <w:b/>
          <w:color w:val="000000"/>
          <w:lang w:val="el-GR"/>
        </w:rPr>
        <w:t>για τουλάχιστον οκτώ έτη, σε σύγκριση με αυτούς που αποχώρησαν.</w:t>
      </w:r>
      <w:r w:rsidRPr="005C53A1">
        <w:rPr>
          <w:rFonts w:cstheme="minorHAnsi"/>
          <w:b/>
          <w:color w:val="000000"/>
          <w:vertAlign w:val="superscript"/>
          <w:lang w:val="el-GR"/>
        </w:rPr>
        <w:t>1</w:t>
      </w:r>
      <w:r w:rsidRPr="005C53A1">
        <w:rPr>
          <w:rFonts w:cstheme="minorHAnsi"/>
          <w:b/>
          <w:color w:val="000000"/>
          <w:lang w:val="el-GR"/>
        </w:rPr>
        <w:t xml:space="preserve"> </w:t>
      </w:r>
      <w:r w:rsidR="00810EB5" w:rsidRPr="005C53A1">
        <w:rPr>
          <w:rFonts w:cstheme="minorHAnsi"/>
          <w:b/>
          <w:color w:val="000000"/>
          <w:lang w:val="el-GR"/>
        </w:rPr>
        <w:t xml:space="preserve">Επίσης, καθυστέρησε σημαντικά (4 φορές) ο χρόνος μέχρι </w:t>
      </w:r>
      <w:r w:rsidRPr="005C53A1">
        <w:rPr>
          <w:rFonts w:cstheme="minorHAnsi"/>
          <w:b/>
          <w:color w:val="000000"/>
          <w:lang w:val="el-GR"/>
        </w:rPr>
        <w:t>τη χρήση αναπηρικού αμαξιδίου.</w:t>
      </w:r>
      <w:r w:rsidRPr="005C53A1">
        <w:rPr>
          <w:rFonts w:cstheme="minorHAnsi"/>
          <w:color w:val="000000"/>
          <w:vertAlign w:val="superscript"/>
          <w:lang w:val="el-GR"/>
        </w:rPr>
        <w:t>1</w:t>
      </w:r>
      <w:r w:rsidRPr="005C53A1">
        <w:rPr>
          <w:rFonts w:cstheme="minorHAnsi"/>
          <w:color w:val="000000"/>
          <w:lang w:val="el-GR"/>
        </w:rPr>
        <w:t xml:space="preserve"> Περίπου</w:t>
      </w:r>
      <w:r w:rsidRPr="005C53A1">
        <w:rPr>
          <w:lang w:val="el-GR"/>
        </w:rPr>
        <w:t xml:space="preserve"> 60% (59,4%) των ασθενών στη μελέτη </w:t>
      </w:r>
      <w:r>
        <w:t>ACROSS</w:t>
      </w:r>
      <w:r w:rsidRPr="005C53A1">
        <w:rPr>
          <w:lang w:val="el-GR"/>
        </w:rPr>
        <w:t xml:space="preserve"> παρέμειναν στη θεραπεία με</w:t>
      </w:r>
      <w:r w:rsidRPr="005C53A1">
        <w:rPr>
          <w:rFonts w:cstheme="minorHAnsi"/>
          <w:color w:val="000000"/>
          <w:lang w:val="el-GR"/>
        </w:rPr>
        <w:t xml:space="preserve"> </w:t>
      </w:r>
      <w:r w:rsidR="008D45C6" w:rsidRPr="008D45C6">
        <w:rPr>
          <w:rFonts w:cstheme="minorHAnsi"/>
          <w:color w:val="000000"/>
          <w:lang w:val="el-GR"/>
        </w:rPr>
        <w:t xml:space="preserve">φινγκολιμόδη </w:t>
      </w:r>
      <w:r w:rsidRPr="005C53A1">
        <w:rPr>
          <w:rFonts w:cstheme="minorHAnsi"/>
          <w:color w:val="000000"/>
          <w:lang w:val="el-GR"/>
        </w:rPr>
        <w:t>στα 10 έτη, επιδεικνύοντας επιμονή της θεραπείας μακροπρόθεσμα.</w:t>
      </w:r>
      <w:r w:rsidRPr="005C53A1">
        <w:rPr>
          <w:rFonts w:cstheme="minorHAnsi"/>
          <w:color w:val="000000"/>
          <w:vertAlign w:val="superscript"/>
          <w:lang w:val="el-GR"/>
        </w:rPr>
        <w:t>1</w:t>
      </w:r>
    </w:p>
    <w:p w:rsidR="00C42D67" w:rsidRPr="005C53A1" w:rsidRDefault="00C42D67" w:rsidP="008D45C6">
      <w:pPr>
        <w:autoSpaceDE w:val="0"/>
        <w:autoSpaceDN w:val="0"/>
        <w:adjustRightInd w:val="0"/>
        <w:jc w:val="both"/>
        <w:rPr>
          <w:rFonts w:cstheme="minorHAnsi"/>
          <w:bCs/>
          <w:color w:val="000000"/>
          <w:lang w:val="el-GR"/>
        </w:rPr>
      </w:pPr>
    </w:p>
    <w:p w:rsidR="009902A3" w:rsidRPr="008D45C6" w:rsidRDefault="004F65A3" w:rsidP="008D45C6">
      <w:pPr>
        <w:autoSpaceDE w:val="0"/>
        <w:autoSpaceDN w:val="0"/>
        <w:adjustRightInd w:val="0"/>
        <w:jc w:val="both"/>
        <w:rPr>
          <w:rFonts w:cstheme="minorHAnsi"/>
          <w:bCs/>
          <w:i/>
          <w:color w:val="000000"/>
          <w:lang w:val="el-GR"/>
        </w:rPr>
      </w:pPr>
      <w:r w:rsidRPr="008D45C6">
        <w:rPr>
          <w:rFonts w:cstheme="minorHAnsi"/>
          <w:i/>
          <w:color w:val="000000"/>
          <w:lang w:val="el-GR"/>
        </w:rPr>
        <w:t xml:space="preserve">«Η </w:t>
      </w:r>
      <w:r w:rsidR="00025016" w:rsidRPr="008D45C6">
        <w:rPr>
          <w:rFonts w:cstheme="minorHAnsi"/>
          <w:i/>
          <w:color w:val="000000"/>
          <w:lang w:val="el-GR"/>
        </w:rPr>
        <w:t>Π</w:t>
      </w:r>
      <w:r w:rsidRPr="008D45C6">
        <w:rPr>
          <w:rFonts w:cstheme="minorHAnsi"/>
          <w:i/>
          <w:color w:val="000000"/>
          <w:lang w:val="el-GR"/>
        </w:rPr>
        <w:t xml:space="preserve">ολλαπλή </w:t>
      </w:r>
      <w:r w:rsidR="00025016" w:rsidRPr="008D45C6">
        <w:rPr>
          <w:rFonts w:cstheme="minorHAnsi"/>
          <w:i/>
          <w:color w:val="000000"/>
          <w:lang w:val="el-GR"/>
        </w:rPr>
        <w:t>Σ</w:t>
      </w:r>
      <w:r w:rsidRPr="008D45C6">
        <w:rPr>
          <w:rFonts w:cstheme="minorHAnsi"/>
          <w:i/>
          <w:color w:val="000000"/>
          <w:lang w:val="el-GR"/>
        </w:rPr>
        <w:t>κλήρυνση είναι μια εξουθενωτική, χρόνια νόσος, η οποία επηρεάζει σε μεγάλο βαθμό τον τρόπο με τον οποίο οι άνθρωποι ζουν την καθημερινότητά τους»,</w:t>
      </w:r>
      <w:r w:rsidRPr="005C53A1">
        <w:rPr>
          <w:rFonts w:cstheme="minorHAnsi"/>
          <w:color w:val="000000"/>
          <w:lang w:val="el-GR"/>
        </w:rPr>
        <w:t xml:space="preserve"> δήλωσε ο </w:t>
      </w:r>
      <w:r>
        <w:rPr>
          <w:rFonts w:cstheme="minorHAnsi"/>
          <w:color w:val="000000"/>
        </w:rPr>
        <w:t>Vasant</w:t>
      </w:r>
      <w:r w:rsidRPr="005C53A1">
        <w:rPr>
          <w:rFonts w:cstheme="minorHAnsi"/>
          <w:color w:val="000000"/>
          <w:lang w:val="el-GR"/>
        </w:rPr>
        <w:t xml:space="preserve"> </w:t>
      </w:r>
      <w:r>
        <w:rPr>
          <w:rFonts w:cstheme="minorHAnsi"/>
          <w:color w:val="000000"/>
        </w:rPr>
        <w:t>Narasimhan</w:t>
      </w:r>
      <w:r w:rsidRPr="005C53A1">
        <w:rPr>
          <w:rFonts w:cstheme="minorHAnsi"/>
          <w:color w:val="000000"/>
          <w:lang w:val="el-GR"/>
        </w:rPr>
        <w:t xml:space="preserve">, </w:t>
      </w:r>
      <w:r>
        <w:rPr>
          <w:rFonts w:cstheme="minorHAnsi"/>
          <w:color w:val="000000"/>
        </w:rPr>
        <w:t>Global</w:t>
      </w:r>
      <w:r w:rsidRPr="005C53A1">
        <w:rPr>
          <w:rFonts w:cstheme="minorHAnsi"/>
          <w:color w:val="000000"/>
          <w:lang w:val="el-GR"/>
        </w:rPr>
        <w:t xml:space="preserve"> </w:t>
      </w:r>
      <w:r>
        <w:rPr>
          <w:rFonts w:cstheme="minorHAnsi"/>
          <w:color w:val="000000"/>
        </w:rPr>
        <w:t>Head</w:t>
      </w:r>
      <w:r w:rsidRPr="005C53A1">
        <w:rPr>
          <w:rFonts w:cstheme="minorHAnsi"/>
          <w:color w:val="000000"/>
          <w:lang w:val="el-GR"/>
        </w:rPr>
        <w:t xml:space="preserve"> </w:t>
      </w:r>
      <w:r>
        <w:rPr>
          <w:rFonts w:cstheme="minorHAnsi"/>
          <w:color w:val="000000"/>
        </w:rPr>
        <w:t>Drug</w:t>
      </w:r>
      <w:r w:rsidRPr="005C53A1">
        <w:rPr>
          <w:rFonts w:cstheme="minorHAnsi"/>
          <w:color w:val="000000"/>
          <w:lang w:val="el-GR"/>
        </w:rPr>
        <w:t xml:space="preserve"> </w:t>
      </w:r>
      <w:r>
        <w:rPr>
          <w:rFonts w:cstheme="minorHAnsi"/>
          <w:color w:val="000000"/>
        </w:rPr>
        <w:t>Development</w:t>
      </w:r>
      <w:r w:rsidRPr="005C53A1">
        <w:rPr>
          <w:rFonts w:cstheme="minorHAnsi"/>
          <w:color w:val="000000"/>
          <w:lang w:val="el-GR"/>
        </w:rPr>
        <w:t xml:space="preserve"> και </w:t>
      </w:r>
      <w:r>
        <w:rPr>
          <w:rFonts w:cstheme="minorHAnsi"/>
          <w:color w:val="000000"/>
        </w:rPr>
        <w:t>Chief</w:t>
      </w:r>
      <w:r w:rsidRPr="005C53A1">
        <w:rPr>
          <w:rFonts w:cstheme="minorHAnsi"/>
          <w:color w:val="000000"/>
          <w:lang w:val="el-GR"/>
        </w:rPr>
        <w:t xml:space="preserve"> </w:t>
      </w:r>
      <w:r>
        <w:rPr>
          <w:rFonts w:cstheme="minorHAnsi"/>
          <w:color w:val="000000"/>
        </w:rPr>
        <w:t>Medical</w:t>
      </w:r>
      <w:r w:rsidRPr="005C53A1">
        <w:rPr>
          <w:rFonts w:cstheme="minorHAnsi"/>
          <w:color w:val="000000"/>
          <w:lang w:val="el-GR"/>
        </w:rPr>
        <w:t xml:space="preserve"> </w:t>
      </w:r>
      <w:r>
        <w:rPr>
          <w:rFonts w:cstheme="minorHAnsi"/>
          <w:color w:val="000000"/>
        </w:rPr>
        <w:t>Officer</w:t>
      </w:r>
      <w:r w:rsidRPr="005C53A1">
        <w:rPr>
          <w:rFonts w:cstheme="minorHAnsi"/>
          <w:color w:val="000000"/>
          <w:lang w:val="el-GR"/>
        </w:rPr>
        <w:t xml:space="preserve"> της </w:t>
      </w:r>
      <w:r>
        <w:rPr>
          <w:rFonts w:cstheme="minorHAnsi"/>
          <w:color w:val="000000"/>
        </w:rPr>
        <w:t>Novartis</w:t>
      </w:r>
      <w:r w:rsidRPr="005C53A1">
        <w:rPr>
          <w:rFonts w:cstheme="minorHAnsi"/>
          <w:color w:val="000000"/>
          <w:lang w:val="el-GR"/>
        </w:rPr>
        <w:t xml:space="preserve">. </w:t>
      </w:r>
      <w:r w:rsidRPr="008D45C6">
        <w:rPr>
          <w:rFonts w:cstheme="minorHAnsi"/>
          <w:i/>
          <w:color w:val="000000"/>
          <w:lang w:val="el-GR"/>
        </w:rPr>
        <w:t xml:space="preserve">«Τα στοιχεία από τη μελέτη </w:t>
      </w:r>
      <w:r w:rsidRPr="008D45C6">
        <w:rPr>
          <w:rFonts w:cstheme="minorHAnsi"/>
          <w:i/>
          <w:color w:val="000000"/>
        </w:rPr>
        <w:t>ACROSS</w:t>
      </w:r>
      <w:r w:rsidRPr="008D45C6">
        <w:rPr>
          <w:rFonts w:cstheme="minorHAnsi"/>
          <w:i/>
          <w:color w:val="000000"/>
          <w:lang w:val="el-GR"/>
        </w:rPr>
        <w:t xml:space="preserve"> συμπληρώνουν την κατανόησή </w:t>
      </w:r>
      <w:r w:rsidR="008D45C6">
        <w:rPr>
          <w:rFonts w:cstheme="minorHAnsi"/>
          <w:i/>
          <w:color w:val="000000"/>
          <w:lang w:val="el-GR"/>
        </w:rPr>
        <w:t>μας για τη μακροχρόνια χρήση της</w:t>
      </w:r>
      <w:r w:rsidRPr="008D45C6">
        <w:rPr>
          <w:rFonts w:cstheme="minorHAnsi"/>
          <w:i/>
          <w:color w:val="000000"/>
          <w:lang w:val="el-GR"/>
        </w:rPr>
        <w:t xml:space="preserve"> </w:t>
      </w:r>
      <w:r w:rsidR="008D45C6" w:rsidRPr="008D45C6">
        <w:rPr>
          <w:rFonts w:cstheme="minorHAnsi"/>
          <w:i/>
          <w:color w:val="000000"/>
          <w:lang w:val="el-GR"/>
        </w:rPr>
        <w:t>φινγκολιμόδη</w:t>
      </w:r>
      <w:r w:rsidR="008D45C6">
        <w:rPr>
          <w:rFonts w:cstheme="minorHAnsi"/>
          <w:i/>
          <w:color w:val="000000"/>
          <w:lang w:val="el-GR"/>
        </w:rPr>
        <w:t xml:space="preserve">ς, </w:t>
      </w:r>
      <w:r w:rsidRPr="008D45C6">
        <w:rPr>
          <w:rFonts w:cstheme="minorHAnsi"/>
          <w:i/>
          <w:color w:val="000000"/>
          <w:lang w:val="el-GR"/>
        </w:rPr>
        <w:t>ως</w:t>
      </w:r>
      <w:r w:rsidR="002F7C9F" w:rsidRPr="008D45C6">
        <w:rPr>
          <w:rFonts w:cstheme="minorHAnsi"/>
          <w:i/>
          <w:color w:val="000000"/>
          <w:lang w:val="el-GR"/>
        </w:rPr>
        <w:t xml:space="preserve"> μια</w:t>
      </w:r>
      <w:r w:rsidRPr="008D45C6">
        <w:rPr>
          <w:rFonts w:cstheme="minorHAnsi"/>
          <w:i/>
          <w:color w:val="000000"/>
          <w:lang w:val="el-GR"/>
        </w:rPr>
        <w:t xml:space="preserve"> ιδιαίτερα αποτελεσματική θεραπευτική επιλογή για τους πάσχοντες από </w:t>
      </w:r>
      <w:r w:rsidR="002F7C9F" w:rsidRPr="008D45C6">
        <w:rPr>
          <w:rFonts w:cstheme="minorHAnsi"/>
          <w:i/>
          <w:color w:val="000000"/>
          <w:lang w:val="el-GR"/>
        </w:rPr>
        <w:t>Υ</w:t>
      </w:r>
      <w:r w:rsidRPr="008D45C6">
        <w:rPr>
          <w:rFonts w:cstheme="minorHAnsi"/>
          <w:i/>
          <w:color w:val="000000"/>
          <w:lang w:val="el-GR"/>
        </w:rPr>
        <w:t xml:space="preserve">ποτροπιάζουσα </w:t>
      </w:r>
      <w:r w:rsidR="002F7C9F" w:rsidRPr="008D45C6">
        <w:rPr>
          <w:rFonts w:cstheme="minorHAnsi"/>
          <w:i/>
          <w:color w:val="000000"/>
          <w:lang w:val="el-GR"/>
        </w:rPr>
        <w:t>Δ</w:t>
      </w:r>
      <w:r w:rsidRPr="008D45C6">
        <w:rPr>
          <w:rFonts w:cstheme="minorHAnsi"/>
          <w:i/>
          <w:color w:val="000000"/>
          <w:lang w:val="el-GR"/>
        </w:rPr>
        <w:t>ιαλείπουσα ΠΣ.»</w:t>
      </w:r>
    </w:p>
    <w:p w:rsidR="00DF6D40" w:rsidRPr="005C53A1" w:rsidRDefault="00DF6D40" w:rsidP="008D45C6">
      <w:pPr>
        <w:autoSpaceDE w:val="0"/>
        <w:autoSpaceDN w:val="0"/>
        <w:adjustRightInd w:val="0"/>
        <w:jc w:val="both"/>
        <w:rPr>
          <w:rFonts w:cstheme="minorHAnsi"/>
          <w:bCs/>
          <w:color w:val="000000"/>
          <w:lang w:val="el-GR"/>
        </w:rPr>
      </w:pPr>
    </w:p>
    <w:p w:rsidR="00784691" w:rsidRPr="005C53A1" w:rsidRDefault="00784691" w:rsidP="008D45C6">
      <w:pPr>
        <w:autoSpaceDE w:val="0"/>
        <w:autoSpaceDN w:val="0"/>
        <w:adjustRightInd w:val="0"/>
        <w:jc w:val="both"/>
        <w:rPr>
          <w:rFonts w:cstheme="minorHAnsi"/>
          <w:bCs/>
          <w:color w:val="000000"/>
          <w:lang w:val="el-GR"/>
        </w:rPr>
      </w:pPr>
      <w:r w:rsidRPr="005C53A1">
        <w:rPr>
          <w:rFonts w:cstheme="minorHAnsi"/>
          <w:color w:val="000000"/>
          <w:lang w:val="el-GR"/>
        </w:rPr>
        <w:t xml:space="preserve">Η ΠΣ είναι μία χρόνια νευρολογική νόσος η οποία σχετίζεται με την επιδείνωση της σωματικής και της </w:t>
      </w:r>
      <w:r w:rsidR="002F7C9F">
        <w:rPr>
          <w:rFonts w:cstheme="minorHAnsi"/>
          <w:color w:val="000000"/>
          <w:lang w:val="el-GR"/>
        </w:rPr>
        <w:t>γνωσιακής</w:t>
      </w:r>
      <w:r w:rsidR="00810EB5">
        <w:rPr>
          <w:rFonts w:cstheme="minorHAnsi"/>
          <w:color w:val="000000"/>
          <w:lang w:val="el-GR"/>
        </w:rPr>
        <w:t xml:space="preserve"> </w:t>
      </w:r>
      <w:r w:rsidRPr="005C53A1">
        <w:rPr>
          <w:rFonts w:cstheme="minorHAnsi"/>
          <w:color w:val="000000"/>
          <w:lang w:val="el-GR"/>
        </w:rPr>
        <w:t>(π.χ. μνήμη) λειτουργίας στην πάροδο του χρόνου,</w:t>
      </w:r>
      <w:r w:rsidR="00810EB5">
        <w:rPr>
          <w:rFonts w:cstheme="minorHAnsi"/>
          <w:color w:val="000000"/>
          <w:lang w:val="el-GR"/>
        </w:rPr>
        <w:t xml:space="preserve"> </w:t>
      </w:r>
      <w:r w:rsidR="002F7C9F">
        <w:rPr>
          <w:rFonts w:cstheme="minorHAnsi"/>
          <w:color w:val="000000"/>
          <w:lang w:val="el-GR"/>
        </w:rPr>
        <w:t>τα</w:t>
      </w:r>
      <w:r w:rsidRPr="005C53A1">
        <w:rPr>
          <w:rFonts w:cstheme="minorHAnsi"/>
          <w:color w:val="000000"/>
          <w:lang w:val="el-GR"/>
        </w:rPr>
        <w:t xml:space="preserve"> </w:t>
      </w:r>
      <w:r w:rsidR="002F7C9F">
        <w:rPr>
          <w:rFonts w:cstheme="minorHAnsi"/>
          <w:color w:val="000000"/>
          <w:lang w:val="el-GR"/>
        </w:rPr>
        <w:t xml:space="preserve">οποία </w:t>
      </w:r>
      <w:r w:rsidRPr="005C53A1">
        <w:rPr>
          <w:rFonts w:cstheme="minorHAnsi"/>
          <w:color w:val="000000"/>
          <w:lang w:val="el-GR"/>
        </w:rPr>
        <w:t>περιορίζ</w:t>
      </w:r>
      <w:r w:rsidR="002F7C9F">
        <w:rPr>
          <w:rFonts w:cstheme="minorHAnsi"/>
          <w:color w:val="000000"/>
          <w:lang w:val="el-GR"/>
        </w:rPr>
        <w:t>ουν</w:t>
      </w:r>
      <w:r w:rsidRPr="005C53A1">
        <w:rPr>
          <w:rFonts w:cstheme="minorHAnsi"/>
          <w:color w:val="000000"/>
          <w:lang w:val="el-GR"/>
        </w:rPr>
        <w:t xml:space="preserve"> </w:t>
      </w:r>
      <w:r w:rsidRPr="005C53A1">
        <w:rPr>
          <w:rFonts w:cstheme="minorHAnsi"/>
          <w:color w:val="000000"/>
          <w:lang w:val="el-GR"/>
        </w:rPr>
        <w:lastRenderedPageBreak/>
        <w:t>την ικανότητα των πασχόντων να επιτελούν τις καθημερινές τους</w:t>
      </w:r>
      <w:r w:rsidR="002F7C9F">
        <w:rPr>
          <w:rFonts w:cstheme="minorHAnsi"/>
          <w:color w:val="000000"/>
          <w:lang w:val="el-GR"/>
        </w:rPr>
        <w:t>δραστηριότητες</w:t>
      </w:r>
      <w:r w:rsidRPr="005C53A1">
        <w:rPr>
          <w:rFonts w:cstheme="minorHAnsi"/>
          <w:color w:val="000000"/>
          <w:lang w:val="el-GR"/>
        </w:rPr>
        <w:t>.</w:t>
      </w:r>
      <w:r w:rsidRPr="005C53A1">
        <w:rPr>
          <w:rFonts w:cstheme="minorHAnsi"/>
          <w:color w:val="000000"/>
          <w:vertAlign w:val="superscript"/>
          <w:lang w:val="el-GR"/>
        </w:rPr>
        <w:t>2</w:t>
      </w:r>
      <w:r w:rsidRPr="005C53A1">
        <w:rPr>
          <w:rFonts w:cstheme="minorHAnsi"/>
          <w:color w:val="000000"/>
          <w:lang w:val="el-GR"/>
        </w:rPr>
        <w:t xml:space="preserve"> Ο περιορισμός της εξέλιξης της αναπηρίας όσο νωρίτερα γίνεται </w:t>
      </w:r>
      <w:r w:rsidR="002F7C9F">
        <w:rPr>
          <w:rFonts w:cstheme="minorHAnsi"/>
          <w:color w:val="000000"/>
          <w:lang w:val="el-GR"/>
        </w:rPr>
        <w:t>κατά</w:t>
      </w:r>
      <w:r w:rsidR="00810EB5">
        <w:rPr>
          <w:rFonts w:cstheme="minorHAnsi"/>
          <w:color w:val="000000"/>
          <w:lang w:val="el-GR"/>
        </w:rPr>
        <w:t xml:space="preserve"> </w:t>
      </w:r>
      <w:r w:rsidRPr="005C53A1">
        <w:rPr>
          <w:rFonts w:cstheme="minorHAnsi"/>
          <w:color w:val="000000"/>
          <w:lang w:val="el-GR"/>
        </w:rPr>
        <w:t xml:space="preserve">τη </w:t>
      </w:r>
      <w:r w:rsidR="002F7C9F">
        <w:rPr>
          <w:rFonts w:cstheme="minorHAnsi"/>
          <w:color w:val="000000"/>
          <w:lang w:val="el-GR"/>
        </w:rPr>
        <w:t>διάρκεια</w:t>
      </w:r>
      <w:r w:rsidR="00810EB5">
        <w:rPr>
          <w:rFonts w:cstheme="minorHAnsi"/>
          <w:color w:val="000000"/>
          <w:lang w:val="el-GR"/>
        </w:rPr>
        <w:t xml:space="preserve"> </w:t>
      </w:r>
      <w:r w:rsidRPr="005C53A1">
        <w:rPr>
          <w:rFonts w:cstheme="minorHAnsi"/>
          <w:color w:val="000000"/>
          <w:lang w:val="el-GR"/>
        </w:rPr>
        <w:t xml:space="preserve">της νόσου είναι ένας σημαντικός θεραπευτικός στόχος στην ΠΣ και μπορεί να βοηθήσει στη βελτίωση των μακροχρόνιων </w:t>
      </w:r>
      <w:r w:rsidR="00B976D6">
        <w:rPr>
          <w:rFonts w:cstheme="minorHAnsi"/>
          <w:color w:val="000000"/>
          <w:lang w:val="el-GR"/>
        </w:rPr>
        <w:t>επιπτώσεων</w:t>
      </w:r>
      <w:r w:rsidR="00810EB5">
        <w:rPr>
          <w:rFonts w:cstheme="minorHAnsi"/>
          <w:color w:val="000000"/>
          <w:lang w:val="el-GR"/>
        </w:rPr>
        <w:t xml:space="preserve"> </w:t>
      </w:r>
      <w:r w:rsidRPr="005C53A1">
        <w:rPr>
          <w:rFonts w:cstheme="minorHAnsi"/>
          <w:color w:val="000000"/>
          <w:lang w:val="el-GR"/>
        </w:rPr>
        <w:t xml:space="preserve">σε </w:t>
      </w:r>
      <w:r w:rsidR="00A85A38">
        <w:rPr>
          <w:rFonts w:cstheme="minorHAnsi"/>
          <w:color w:val="000000"/>
          <w:lang w:val="el-GR"/>
        </w:rPr>
        <w:t>ασθενείς</w:t>
      </w:r>
      <w:r w:rsidR="00810EB5">
        <w:rPr>
          <w:rFonts w:cstheme="minorHAnsi"/>
          <w:color w:val="000000"/>
          <w:lang w:val="el-GR"/>
        </w:rPr>
        <w:t xml:space="preserve"> </w:t>
      </w:r>
      <w:r w:rsidRPr="005C53A1">
        <w:rPr>
          <w:rFonts w:cstheme="minorHAnsi"/>
          <w:color w:val="000000"/>
          <w:lang w:val="el-GR"/>
        </w:rPr>
        <w:t xml:space="preserve">με την πάθηση, καθώς και να καθυστερήσει την εξέλιξη σε </w:t>
      </w:r>
      <w:r>
        <w:rPr>
          <w:rFonts w:cstheme="minorHAnsi"/>
          <w:color w:val="000000"/>
        </w:rPr>
        <w:t>SPMS</w:t>
      </w:r>
      <w:r w:rsidRPr="005C53A1">
        <w:rPr>
          <w:rFonts w:cstheme="minorHAnsi"/>
          <w:color w:val="000000"/>
          <w:lang w:val="el-GR"/>
        </w:rPr>
        <w:t>.</w:t>
      </w:r>
      <w:r w:rsidRPr="005C53A1">
        <w:rPr>
          <w:rFonts w:cstheme="minorHAnsi"/>
          <w:color w:val="000000"/>
          <w:vertAlign w:val="superscript"/>
          <w:lang w:val="el-GR"/>
        </w:rPr>
        <w:t>3,4</w:t>
      </w:r>
      <w:r w:rsidRPr="005C53A1">
        <w:rPr>
          <w:rFonts w:cstheme="minorHAnsi"/>
          <w:color w:val="000000"/>
          <w:lang w:val="el-GR"/>
        </w:rPr>
        <w:t xml:space="preserve"> </w:t>
      </w:r>
    </w:p>
    <w:p w:rsidR="002F0298" w:rsidRPr="005C53A1" w:rsidRDefault="002F0298" w:rsidP="008D45C6">
      <w:pPr>
        <w:autoSpaceDE w:val="0"/>
        <w:autoSpaceDN w:val="0"/>
        <w:adjustRightInd w:val="0"/>
        <w:jc w:val="both"/>
        <w:rPr>
          <w:rFonts w:cstheme="minorHAnsi"/>
          <w:b/>
          <w:bCs/>
          <w:color w:val="000000"/>
          <w:lang w:val="el-GR"/>
        </w:rPr>
      </w:pPr>
    </w:p>
    <w:p w:rsidR="00784691" w:rsidRPr="005C53A1" w:rsidRDefault="00784691" w:rsidP="008D45C6">
      <w:pPr>
        <w:autoSpaceDE w:val="0"/>
        <w:autoSpaceDN w:val="0"/>
        <w:adjustRightInd w:val="0"/>
        <w:jc w:val="both"/>
        <w:rPr>
          <w:rFonts w:cstheme="minorHAnsi"/>
          <w:b/>
          <w:bCs/>
          <w:color w:val="000000"/>
          <w:lang w:val="el-GR"/>
        </w:rPr>
      </w:pPr>
      <w:r w:rsidRPr="005C53A1">
        <w:rPr>
          <w:rFonts w:cstheme="minorHAnsi"/>
          <w:b/>
          <w:color w:val="000000"/>
          <w:lang w:val="el-GR"/>
        </w:rPr>
        <w:t xml:space="preserve">Σχετικά με τη μελέτη </w:t>
      </w:r>
      <w:r>
        <w:rPr>
          <w:rFonts w:cstheme="minorHAnsi"/>
          <w:b/>
          <w:color w:val="000000"/>
        </w:rPr>
        <w:t>ACROSS</w:t>
      </w:r>
      <w:r w:rsidRPr="005C53A1">
        <w:rPr>
          <w:rFonts w:cstheme="minorHAnsi"/>
          <w:b/>
          <w:color w:val="000000"/>
          <w:lang w:val="el-GR"/>
        </w:rPr>
        <w:t xml:space="preserve"> </w:t>
      </w:r>
    </w:p>
    <w:p w:rsidR="00784691" w:rsidRPr="005C53A1" w:rsidRDefault="00784691" w:rsidP="008D45C6">
      <w:pPr>
        <w:autoSpaceDE w:val="0"/>
        <w:autoSpaceDN w:val="0"/>
        <w:adjustRightInd w:val="0"/>
        <w:jc w:val="both"/>
        <w:rPr>
          <w:rFonts w:cstheme="minorHAnsi"/>
          <w:bCs/>
          <w:color w:val="000000"/>
          <w:vertAlign w:val="superscript"/>
          <w:lang w:val="el-GR"/>
        </w:rPr>
      </w:pPr>
      <w:r w:rsidRPr="005C53A1">
        <w:rPr>
          <w:rFonts w:cstheme="minorHAnsi"/>
          <w:color w:val="000000"/>
          <w:lang w:val="el-GR"/>
        </w:rPr>
        <w:t xml:space="preserve">Η μελέτη </w:t>
      </w:r>
      <w:r>
        <w:rPr>
          <w:rFonts w:cstheme="minorHAnsi"/>
          <w:color w:val="000000"/>
        </w:rPr>
        <w:t>ACROSS</w:t>
      </w:r>
      <w:r w:rsidRPr="005C53A1">
        <w:rPr>
          <w:rFonts w:cstheme="minorHAnsi"/>
          <w:color w:val="000000"/>
          <w:lang w:val="el-GR"/>
        </w:rPr>
        <w:t xml:space="preserve"> είναι μια πολυκεντρική, δεκαετής μελέτη παρατήρησης που αξιολογεί τη μα</w:t>
      </w:r>
      <w:r w:rsidR="008D45C6">
        <w:rPr>
          <w:rFonts w:cstheme="minorHAnsi"/>
          <w:color w:val="000000"/>
          <w:lang w:val="el-GR"/>
        </w:rPr>
        <w:t>κροχρόνια αποτελεσματικότητα της</w:t>
      </w:r>
      <w:r w:rsidRPr="005C53A1">
        <w:rPr>
          <w:rFonts w:cstheme="minorHAnsi"/>
          <w:color w:val="000000"/>
          <w:lang w:val="el-GR"/>
        </w:rPr>
        <w:t xml:space="preserve"> </w:t>
      </w:r>
      <w:r w:rsidR="008D45C6" w:rsidRPr="008D45C6">
        <w:rPr>
          <w:rFonts w:cstheme="minorHAnsi"/>
          <w:color w:val="000000"/>
          <w:lang w:val="el-GR"/>
        </w:rPr>
        <w:t>φινγκολιμόδη</w:t>
      </w:r>
      <w:r w:rsidR="008D45C6">
        <w:rPr>
          <w:rFonts w:cstheme="minorHAnsi"/>
          <w:color w:val="000000"/>
          <w:lang w:val="el-GR"/>
        </w:rPr>
        <w:t>ς</w:t>
      </w:r>
      <w:r w:rsidRPr="005C53A1">
        <w:rPr>
          <w:rFonts w:cstheme="minorHAnsi"/>
          <w:color w:val="000000"/>
          <w:lang w:val="el-GR"/>
        </w:rPr>
        <w:t xml:space="preserve"> στην </w:t>
      </w:r>
      <w:r w:rsidR="00A85A38">
        <w:rPr>
          <w:rFonts w:cstheme="minorHAnsi"/>
          <w:color w:val="000000"/>
          <w:lang w:val="el-GR"/>
        </w:rPr>
        <w:t>Υ</w:t>
      </w:r>
      <w:r w:rsidRPr="005C53A1">
        <w:rPr>
          <w:rFonts w:cstheme="minorHAnsi"/>
          <w:color w:val="000000"/>
          <w:lang w:val="el-GR"/>
        </w:rPr>
        <w:t xml:space="preserve">ποτροπιάζουσα </w:t>
      </w:r>
      <w:r w:rsidR="00A85A38">
        <w:rPr>
          <w:rFonts w:cstheme="minorHAnsi"/>
          <w:color w:val="000000"/>
          <w:lang w:val="el-GR"/>
        </w:rPr>
        <w:t>Δ</w:t>
      </w:r>
      <w:r w:rsidRPr="005C53A1">
        <w:rPr>
          <w:rFonts w:cstheme="minorHAnsi"/>
          <w:color w:val="000000"/>
          <w:lang w:val="el-GR"/>
        </w:rPr>
        <w:t>ιαλείπουσα ΠΣ (</w:t>
      </w:r>
      <w:r>
        <w:rPr>
          <w:rFonts w:cstheme="minorHAnsi"/>
          <w:color w:val="000000"/>
        </w:rPr>
        <w:t>RRMS</w:t>
      </w:r>
      <w:r w:rsidRPr="005C53A1">
        <w:rPr>
          <w:rFonts w:cstheme="minorHAnsi"/>
          <w:color w:val="000000"/>
          <w:lang w:val="el-GR"/>
        </w:rPr>
        <w:t xml:space="preserve">). Η μελέτη συμπεριέλαβε 175 ανθρώπους με </w:t>
      </w:r>
      <w:r>
        <w:rPr>
          <w:rFonts w:cstheme="minorHAnsi"/>
          <w:color w:val="000000"/>
        </w:rPr>
        <w:t>RRMS</w:t>
      </w:r>
      <w:r w:rsidRPr="005C53A1">
        <w:rPr>
          <w:rFonts w:cstheme="minorHAnsi"/>
          <w:color w:val="000000"/>
          <w:lang w:val="el-GR"/>
        </w:rPr>
        <w:t xml:space="preserve"> που είχαν προηγουμένως </w:t>
      </w:r>
      <w:r w:rsidR="00810EB5" w:rsidRPr="005C53A1">
        <w:rPr>
          <w:rFonts w:cstheme="minorHAnsi"/>
          <w:color w:val="000000"/>
          <w:lang w:val="el-GR"/>
        </w:rPr>
        <w:t>ε</w:t>
      </w:r>
      <w:r w:rsidR="00810EB5">
        <w:rPr>
          <w:rFonts w:cstheme="minorHAnsi"/>
          <w:color w:val="000000"/>
          <w:lang w:val="el-GR"/>
        </w:rPr>
        <w:t>νταχθεί</w:t>
      </w:r>
      <w:r w:rsidR="00810EB5" w:rsidRPr="005C53A1">
        <w:rPr>
          <w:rFonts w:cstheme="minorHAnsi"/>
          <w:color w:val="000000"/>
          <w:lang w:val="el-GR"/>
        </w:rPr>
        <w:t xml:space="preserve"> </w:t>
      </w:r>
      <w:r w:rsidRPr="005C53A1">
        <w:rPr>
          <w:rFonts w:cstheme="minorHAnsi"/>
          <w:color w:val="000000"/>
          <w:lang w:val="el-GR"/>
        </w:rPr>
        <w:t xml:space="preserve">στη μελέτη </w:t>
      </w:r>
      <w:r>
        <w:rPr>
          <w:rFonts w:cstheme="minorHAnsi"/>
          <w:color w:val="000000"/>
        </w:rPr>
        <w:t>D</w:t>
      </w:r>
      <w:r w:rsidRPr="005C53A1">
        <w:rPr>
          <w:rFonts w:cstheme="minorHAnsi"/>
          <w:color w:val="000000"/>
          <w:lang w:val="el-GR"/>
        </w:rPr>
        <w:t xml:space="preserve">2201 φάσης ΙΙ, αξιολογώντας την αποτελεσματικότητα, την ασφάλεια και την </w:t>
      </w:r>
      <w:r w:rsidR="00A85A38">
        <w:rPr>
          <w:rFonts w:cstheme="minorHAnsi"/>
          <w:color w:val="000000"/>
          <w:lang w:val="el-GR"/>
        </w:rPr>
        <w:t>ανοχή</w:t>
      </w:r>
      <w:r w:rsidR="00416DE9">
        <w:rPr>
          <w:rFonts w:cstheme="minorHAnsi"/>
          <w:color w:val="000000"/>
          <w:lang w:val="el-GR"/>
        </w:rPr>
        <w:t xml:space="preserve"> </w:t>
      </w:r>
      <w:r w:rsidRPr="005C53A1">
        <w:rPr>
          <w:rFonts w:cstheme="minorHAnsi"/>
          <w:color w:val="000000"/>
          <w:lang w:val="el-GR"/>
        </w:rPr>
        <w:t xml:space="preserve">της φινγκολιμόδης στην </w:t>
      </w:r>
      <w:r>
        <w:rPr>
          <w:rFonts w:cstheme="minorHAnsi"/>
          <w:color w:val="000000"/>
        </w:rPr>
        <w:t>RRMS</w:t>
      </w:r>
      <w:r w:rsidRPr="005C53A1">
        <w:rPr>
          <w:rFonts w:cstheme="minorHAnsi"/>
          <w:color w:val="000000"/>
          <w:lang w:val="el-GR"/>
        </w:rPr>
        <w:t>.</w:t>
      </w:r>
      <w:r w:rsidRPr="005C53A1">
        <w:rPr>
          <w:rFonts w:cstheme="minorHAnsi"/>
          <w:color w:val="000000"/>
          <w:vertAlign w:val="superscript"/>
          <w:lang w:val="el-GR"/>
        </w:rPr>
        <w:t xml:space="preserve"> </w:t>
      </w:r>
      <w:r w:rsidRPr="005C53A1">
        <w:rPr>
          <w:rFonts w:cstheme="minorHAnsi"/>
          <w:color w:val="000000"/>
          <w:lang w:val="el-GR"/>
        </w:rPr>
        <w:t xml:space="preserve">Οι ασθενείς που </w:t>
      </w:r>
      <w:r w:rsidR="00A85A38">
        <w:rPr>
          <w:rFonts w:cstheme="minorHAnsi"/>
          <w:color w:val="000000"/>
          <w:lang w:val="el-GR"/>
        </w:rPr>
        <w:t>συμμετείχαν</w:t>
      </w:r>
      <w:r w:rsidR="00416DE9">
        <w:rPr>
          <w:rFonts w:cstheme="minorHAnsi"/>
          <w:color w:val="000000"/>
          <w:lang w:val="el-GR"/>
        </w:rPr>
        <w:t xml:space="preserve"> </w:t>
      </w:r>
      <w:r w:rsidRPr="005C53A1">
        <w:rPr>
          <w:rFonts w:cstheme="minorHAnsi"/>
          <w:color w:val="000000"/>
          <w:lang w:val="el-GR"/>
        </w:rPr>
        <w:t xml:space="preserve">στην </w:t>
      </w:r>
      <w:r>
        <w:rPr>
          <w:rFonts w:cstheme="minorHAnsi"/>
          <w:color w:val="000000"/>
        </w:rPr>
        <w:t>ACROSS</w:t>
      </w:r>
      <w:r w:rsidRPr="005C53A1">
        <w:rPr>
          <w:rFonts w:cstheme="minorHAnsi"/>
          <w:color w:val="000000"/>
          <w:lang w:val="el-GR"/>
        </w:rPr>
        <w:t xml:space="preserve"> χωρίστηκαν στην ομάδα συνεχόμενης θεραπείας με </w:t>
      </w:r>
      <w:r w:rsidR="008D45C6" w:rsidRPr="008D45C6">
        <w:rPr>
          <w:rFonts w:cstheme="minorHAnsi"/>
          <w:color w:val="000000"/>
          <w:lang w:val="el-GR"/>
        </w:rPr>
        <w:t xml:space="preserve">φινγκολιμόδη </w:t>
      </w:r>
      <w:r w:rsidRPr="005C53A1">
        <w:rPr>
          <w:rFonts w:cstheme="minorHAnsi"/>
          <w:color w:val="000000"/>
          <w:lang w:val="el-GR"/>
        </w:rPr>
        <w:t xml:space="preserve">(ορίζεται ως θεραπεία με </w:t>
      </w:r>
      <w:r w:rsidR="008D45C6" w:rsidRPr="008D45C6">
        <w:rPr>
          <w:rFonts w:cstheme="minorHAnsi"/>
          <w:color w:val="000000"/>
          <w:lang w:val="el-GR"/>
        </w:rPr>
        <w:t xml:space="preserve">φινγκολιμόδη </w:t>
      </w:r>
      <w:r w:rsidRPr="005C53A1">
        <w:rPr>
          <w:rFonts w:cstheme="minorHAnsi"/>
          <w:color w:val="000000"/>
          <w:lang w:val="el-GR"/>
        </w:rPr>
        <w:t xml:space="preserve">για τουλάχιστον οκτώ έτη) και την ομάδα της μη συνεχόμενης θεραπείας με </w:t>
      </w:r>
      <w:r w:rsidR="008D45C6" w:rsidRPr="008D45C6">
        <w:rPr>
          <w:rFonts w:cstheme="minorHAnsi"/>
          <w:color w:val="000000"/>
          <w:lang w:val="el-GR"/>
        </w:rPr>
        <w:t xml:space="preserve">φινγκολιμόδη </w:t>
      </w:r>
      <w:r w:rsidRPr="005C53A1">
        <w:rPr>
          <w:rFonts w:cstheme="minorHAnsi"/>
          <w:color w:val="000000"/>
          <w:lang w:val="el-GR"/>
        </w:rPr>
        <w:t xml:space="preserve">(ορίζεται ως θεραπεία με </w:t>
      </w:r>
      <w:r w:rsidR="008D45C6" w:rsidRPr="008D45C6">
        <w:rPr>
          <w:rFonts w:cstheme="minorHAnsi"/>
          <w:color w:val="000000"/>
          <w:lang w:val="el-GR"/>
        </w:rPr>
        <w:t xml:space="preserve">φινγκολιμόδη </w:t>
      </w:r>
      <w:r w:rsidRPr="005C53A1">
        <w:rPr>
          <w:rFonts w:cstheme="minorHAnsi"/>
          <w:color w:val="000000"/>
          <w:lang w:val="el-GR"/>
        </w:rPr>
        <w:t>για λιγότερο από οκτώ έτη).</w:t>
      </w:r>
      <w:r w:rsidRPr="005C53A1">
        <w:rPr>
          <w:rFonts w:cstheme="minorHAnsi"/>
          <w:color w:val="000000"/>
          <w:vertAlign w:val="superscript"/>
          <w:lang w:val="el-GR"/>
        </w:rPr>
        <w:t>1</w:t>
      </w:r>
    </w:p>
    <w:p w:rsidR="00784691" w:rsidRPr="005C53A1" w:rsidRDefault="00784691" w:rsidP="008D45C6">
      <w:pPr>
        <w:autoSpaceDE w:val="0"/>
        <w:autoSpaceDN w:val="0"/>
        <w:adjustRightInd w:val="0"/>
        <w:jc w:val="both"/>
        <w:rPr>
          <w:rFonts w:cstheme="minorHAnsi"/>
          <w:bCs/>
          <w:color w:val="000000"/>
          <w:lang w:val="el-GR"/>
        </w:rPr>
      </w:pPr>
    </w:p>
    <w:p w:rsidR="00784691" w:rsidRPr="005C53A1" w:rsidRDefault="00784691" w:rsidP="008D45C6">
      <w:pPr>
        <w:autoSpaceDE w:val="0"/>
        <w:autoSpaceDN w:val="0"/>
        <w:adjustRightInd w:val="0"/>
        <w:jc w:val="both"/>
        <w:rPr>
          <w:rFonts w:cstheme="minorHAnsi"/>
          <w:bCs/>
          <w:color w:val="000000"/>
          <w:lang w:val="el-GR"/>
        </w:rPr>
      </w:pPr>
      <w:r w:rsidRPr="005C53A1">
        <w:rPr>
          <w:rFonts w:cstheme="minorHAnsi"/>
          <w:color w:val="000000"/>
          <w:lang w:val="el-GR"/>
        </w:rPr>
        <w:t>Ο πρωτεύων στόχος ήταν να αξιολογηθεί εάν η συνεχόμενη χρήση τ</w:t>
      </w:r>
      <w:r w:rsidR="008D45C6">
        <w:rPr>
          <w:rFonts w:cstheme="minorHAnsi"/>
          <w:color w:val="000000"/>
          <w:lang w:val="el-GR"/>
        </w:rPr>
        <w:t>ης</w:t>
      </w:r>
      <w:r w:rsidRPr="005C53A1">
        <w:rPr>
          <w:rFonts w:cstheme="minorHAnsi"/>
          <w:color w:val="000000"/>
          <w:lang w:val="el-GR"/>
        </w:rPr>
        <w:t xml:space="preserve"> </w:t>
      </w:r>
      <w:r w:rsidR="008D45C6" w:rsidRPr="008D45C6">
        <w:rPr>
          <w:rFonts w:cstheme="minorHAnsi"/>
          <w:color w:val="000000"/>
          <w:lang w:val="el-GR"/>
        </w:rPr>
        <w:t>φινγκολιμόδη</w:t>
      </w:r>
      <w:r w:rsidR="008D45C6">
        <w:rPr>
          <w:rFonts w:cstheme="minorHAnsi"/>
          <w:color w:val="000000"/>
          <w:lang w:val="el-GR"/>
        </w:rPr>
        <w:t>ς</w:t>
      </w:r>
      <w:r w:rsidR="008D45C6" w:rsidRPr="008D45C6">
        <w:rPr>
          <w:rFonts w:cstheme="minorHAnsi"/>
          <w:color w:val="000000"/>
          <w:lang w:val="el-GR"/>
        </w:rPr>
        <w:t xml:space="preserve"> </w:t>
      </w:r>
      <w:r w:rsidRPr="005C53A1">
        <w:rPr>
          <w:rFonts w:cstheme="minorHAnsi"/>
          <w:color w:val="000000"/>
          <w:lang w:val="el-GR"/>
        </w:rPr>
        <w:t>για πάνω από 10 έτη μειώνει την εξέλιξη της αναπηρίας, όπως μετρήθηκε από τη μέση βαθμολογία στη  Διευρυμένη Κλίμακα Κατάστασης Αναπηρίας (</w:t>
      </w:r>
      <w:r>
        <w:rPr>
          <w:rFonts w:cstheme="minorHAnsi"/>
          <w:color w:val="000000"/>
        </w:rPr>
        <w:t>EDSS</w:t>
      </w:r>
      <w:r w:rsidRPr="005C53A1">
        <w:rPr>
          <w:rFonts w:cstheme="minorHAnsi"/>
          <w:color w:val="000000"/>
          <w:lang w:val="el-GR"/>
        </w:rPr>
        <w:t xml:space="preserve">), σε σύγκριση με </w:t>
      </w:r>
      <w:r w:rsidR="00A85A38">
        <w:rPr>
          <w:rFonts w:cstheme="minorHAnsi"/>
          <w:color w:val="000000"/>
          <w:lang w:val="el-GR"/>
        </w:rPr>
        <w:t xml:space="preserve">τη </w:t>
      </w:r>
      <w:r w:rsidRPr="005C53A1">
        <w:rPr>
          <w:rFonts w:cstheme="minorHAnsi"/>
          <w:color w:val="000000"/>
          <w:lang w:val="el-GR"/>
        </w:rPr>
        <w:t>μικρότερη διάρκεια θεραπείας.</w:t>
      </w:r>
      <w:r w:rsidRPr="005C53A1">
        <w:rPr>
          <w:rFonts w:cstheme="minorHAnsi"/>
          <w:color w:val="000000"/>
          <w:vertAlign w:val="superscript"/>
          <w:lang w:val="el-GR"/>
        </w:rPr>
        <w:t>1</w:t>
      </w:r>
      <w:r w:rsidRPr="005C53A1">
        <w:rPr>
          <w:rFonts w:cstheme="minorHAnsi"/>
          <w:color w:val="000000"/>
          <w:lang w:val="el-GR"/>
        </w:rPr>
        <w:t xml:space="preserve"> Οι κύριοι δευτερεύοντες στόχοι περιλάμβαναν το ποσοστό ανθρώπων με εξέλιξη της αναπηρίας, τον χρόνο έως την </w:t>
      </w:r>
      <w:r w:rsidR="00A85A38">
        <w:rPr>
          <w:rFonts w:cstheme="minorHAnsi"/>
          <w:color w:val="000000"/>
          <w:lang w:val="el-GR"/>
        </w:rPr>
        <w:t>έναρξη</w:t>
      </w:r>
      <w:r w:rsidR="00F824D1">
        <w:rPr>
          <w:rFonts w:cstheme="minorHAnsi"/>
          <w:color w:val="000000"/>
          <w:lang w:val="el-GR"/>
        </w:rPr>
        <w:t xml:space="preserve"> </w:t>
      </w:r>
      <w:r w:rsidRPr="005C53A1">
        <w:rPr>
          <w:rFonts w:cstheme="minorHAnsi"/>
          <w:color w:val="000000"/>
          <w:lang w:val="el-GR"/>
        </w:rPr>
        <w:t>χρήση</w:t>
      </w:r>
      <w:r w:rsidR="00A85A38">
        <w:rPr>
          <w:rFonts w:cstheme="minorHAnsi"/>
          <w:color w:val="000000"/>
          <w:lang w:val="el-GR"/>
        </w:rPr>
        <w:t>ς</w:t>
      </w:r>
      <w:r w:rsidRPr="005C53A1">
        <w:rPr>
          <w:rFonts w:cstheme="minorHAnsi"/>
          <w:color w:val="000000"/>
          <w:lang w:val="el-GR"/>
        </w:rPr>
        <w:t xml:space="preserve"> αναπηρικού αμαξιδίου και το ποσοστό ανθρώπων που ανέπτυξαν </w:t>
      </w:r>
      <w:r>
        <w:rPr>
          <w:rFonts w:cstheme="minorHAnsi"/>
          <w:color w:val="000000"/>
        </w:rPr>
        <w:t>SPMS</w:t>
      </w:r>
      <w:r w:rsidRPr="005C53A1">
        <w:rPr>
          <w:rFonts w:cstheme="minorHAnsi"/>
          <w:color w:val="000000"/>
          <w:lang w:val="el-GR"/>
        </w:rPr>
        <w:t xml:space="preserve"> με συνεχόμενη έναντι μη συνεχόμενης θεραπείας με </w:t>
      </w:r>
      <w:r w:rsidR="008D45C6" w:rsidRPr="008D45C6">
        <w:rPr>
          <w:rFonts w:cstheme="minorHAnsi"/>
          <w:color w:val="000000"/>
          <w:lang w:val="el-GR"/>
        </w:rPr>
        <w:t xml:space="preserve">φινγκολιμόδη </w:t>
      </w:r>
      <w:r w:rsidRPr="005C53A1">
        <w:rPr>
          <w:rFonts w:cstheme="minorHAnsi"/>
          <w:color w:val="000000"/>
          <w:lang w:val="el-GR"/>
        </w:rPr>
        <w:t>στα 10 έτη.</w:t>
      </w:r>
      <w:r w:rsidRPr="005C53A1">
        <w:rPr>
          <w:rFonts w:cstheme="minorHAnsi"/>
          <w:color w:val="000000"/>
          <w:vertAlign w:val="superscript"/>
          <w:lang w:val="el-GR"/>
        </w:rPr>
        <w:t>1</w:t>
      </w:r>
      <w:r w:rsidRPr="005C53A1">
        <w:rPr>
          <w:rFonts w:cstheme="minorHAnsi"/>
          <w:color w:val="000000"/>
          <w:lang w:val="el-GR"/>
        </w:rPr>
        <w:t xml:space="preserve"> </w:t>
      </w:r>
    </w:p>
    <w:p w:rsidR="005741C0" w:rsidRPr="005C53A1" w:rsidRDefault="005741C0" w:rsidP="008D45C6">
      <w:pPr>
        <w:autoSpaceDE w:val="0"/>
        <w:autoSpaceDN w:val="0"/>
        <w:adjustRightInd w:val="0"/>
        <w:jc w:val="both"/>
        <w:rPr>
          <w:rFonts w:cstheme="minorHAnsi"/>
          <w:bCs/>
          <w:color w:val="000000"/>
          <w:lang w:val="el-GR"/>
        </w:rPr>
      </w:pPr>
    </w:p>
    <w:p w:rsidR="005741C0" w:rsidRPr="005C53A1" w:rsidRDefault="005741C0" w:rsidP="008D45C6">
      <w:pPr>
        <w:pStyle w:val="Default"/>
        <w:jc w:val="both"/>
        <w:rPr>
          <w:rFonts w:asciiTheme="minorHAnsi" w:hAnsiTheme="minorHAnsi" w:cstheme="minorHAnsi"/>
          <w:bCs/>
          <w:sz w:val="20"/>
          <w:szCs w:val="20"/>
          <w:lang w:val="el-GR"/>
        </w:rPr>
      </w:pPr>
      <w:r w:rsidRPr="005C53A1">
        <w:rPr>
          <w:rFonts w:asciiTheme="minorHAnsi" w:hAnsiTheme="minorHAnsi" w:cstheme="minorHAnsi"/>
          <w:sz w:val="20"/>
          <w:lang w:val="el-GR"/>
        </w:rPr>
        <w:t>Όπως και σε οποιαδήποτε μελέτη με παράλληλο έλεγχο, οι στρεβλώσεις που σχετίζονται με τον σχεδιασμό της μελέτης πρέπει να λαμβάνονται υπόψη.</w:t>
      </w:r>
    </w:p>
    <w:p w:rsidR="00784691" w:rsidRPr="005C53A1" w:rsidRDefault="00784691" w:rsidP="008D45C6">
      <w:pPr>
        <w:autoSpaceDE w:val="0"/>
        <w:autoSpaceDN w:val="0"/>
        <w:adjustRightInd w:val="0"/>
        <w:jc w:val="both"/>
        <w:rPr>
          <w:rFonts w:cstheme="minorHAnsi"/>
          <w:bCs/>
          <w:color w:val="000000"/>
          <w:lang w:val="el-GR"/>
        </w:rPr>
      </w:pPr>
    </w:p>
    <w:p w:rsidR="00784691" w:rsidRPr="005C53A1" w:rsidRDefault="00784691" w:rsidP="008D45C6">
      <w:pPr>
        <w:autoSpaceDE w:val="0"/>
        <w:autoSpaceDN w:val="0"/>
        <w:adjustRightInd w:val="0"/>
        <w:jc w:val="both"/>
        <w:rPr>
          <w:rFonts w:cstheme="minorHAnsi"/>
          <w:b/>
          <w:bCs/>
          <w:color w:val="000000"/>
          <w:lang w:val="el-GR"/>
        </w:rPr>
      </w:pPr>
      <w:r w:rsidRPr="005C53A1">
        <w:rPr>
          <w:rFonts w:cstheme="minorHAnsi"/>
          <w:b/>
          <w:color w:val="000000"/>
          <w:lang w:val="el-GR"/>
        </w:rPr>
        <w:t xml:space="preserve">Σχετικά με </w:t>
      </w:r>
      <w:r w:rsidR="008D45C6">
        <w:rPr>
          <w:rFonts w:cstheme="minorHAnsi"/>
          <w:b/>
          <w:color w:val="000000"/>
          <w:lang w:val="el-GR"/>
        </w:rPr>
        <w:t>τη φινγκολιμόδη</w:t>
      </w:r>
    </w:p>
    <w:p w:rsidR="00EC0D8E" w:rsidRPr="005C53A1" w:rsidRDefault="008D45C6" w:rsidP="008D45C6">
      <w:pPr>
        <w:autoSpaceDE w:val="0"/>
        <w:autoSpaceDN w:val="0"/>
        <w:adjustRightInd w:val="0"/>
        <w:jc w:val="both"/>
        <w:rPr>
          <w:rFonts w:cstheme="minorHAnsi"/>
          <w:bCs/>
          <w:color w:val="000000"/>
          <w:lang w:val="el-GR"/>
        </w:rPr>
      </w:pPr>
      <w:r>
        <w:rPr>
          <w:rFonts w:cstheme="minorHAnsi"/>
          <w:color w:val="000000"/>
          <w:lang w:val="el-GR"/>
        </w:rPr>
        <w:t>Η</w:t>
      </w:r>
      <w:r w:rsidR="00EC0D8E" w:rsidRPr="005C53A1">
        <w:rPr>
          <w:rFonts w:cstheme="minorHAnsi"/>
          <w:color w:val="000000"/>
          <w:lang w:val="el-GR"/>
        </w:rPr>
        <w:t xml:space="preserve"> </w:t>
      </w:r>
      <w:r w:rsidRPr="008D45C6">
        <w:rPr>
          <w:rFonts w:cstheme="minorHAnsi"/>
          <w:color w:val="000000"/>
          <w:lang w:val="el-GR"/>
        </w:rPr>
        <w:t xml:space="preserve">φινγκολιμόδη </w:t>
      </w:r>
      <w:r w:rsidR="00EC0D8E" w:rsidRPr="005C53A1">
        <w:rPr>
          <w:rFonts w:cstheme="minorHAnsi"/>
          <w:color w:val="000000"/>
          <w:lang w:val="el-GR"/>
        </w:rPr>
        <w:t>είναι μία από του στόματος, τροποποιητική της νόσου θεραπεία (</w:t>
      </w:r>
      <w:r w:rsidR="00EC0D8E">
        <w:rPr>
          <w:rFonts w:cstheme="minorHAnsi"/>
          <w:color w:val="000000"/>
        </w:rPr>
        <w:t>DMT</w:t>
      </w:r>
      <w:r w:rsidR="00EC0D8E" w:rsidRPr="005C53A1">
        <w:rPr>
          <w:rFonts w:cstheme="minorHAnsi"/>
          <w:color w:val="000000"/>
          <w:lang w:val="el-GR"/>
        </w:rPr>
        <w:t xml:space="preserve">) με υψηλή αποτελεσματικότητα στον έλεγχο της ενεργότητας της νόσου στην </w:t>
      </w:r>
      <w:r w:rsidR="00A85A38">
        <w:rPr>
          <w:rFonts w:cstheme="minorHAnsi"/>
          <w:color w:val="000000"/>
          <w:lang w:val="el-GR"/>
        </w:rPr>
        <w:t>Υ</w:t>
      </w:r>
      <w:r w:rsidR="00EC0D8E" w:rsidRPr="005C53A1">
        <w:rPr>
          <w:rFonts w:cstheme="minorHAnsi"/>
          <w:color w:val="000000"/>
          <w:lang w:val="el-GR"/>
        </w:rPr>
        <w:t>ποτροπιάζουσα ΠΣ (</w:t>
      </w:r>
      <w:r w:rsidR="00EC0D8E">
        <w:rPr>
          <w:rFonts w:cstheme="minorHAnsi"/>
          <w:color w:val="000000"/>
        </w:rPr>
        <w:t>RMS</w:t>
      </w:r>
      <w:r w:rsidR="00EC0D8E" w:rsidRPr="005C53A1">
        <w:rPr>
          <w:rFonts w:cstheme="minorHAnsi"/>
          <w:color w:val="000000"/>
          <w:lang w:val="el-GR"/>
        </w:rPr>
        <w:t>).</w:t>
      </w:r>
      <w:r w:rsidR="00EC0D8E" w:rsidRPr="005C53A1">
        <w:rPr>
          <w:rFonts w:cstheme="minorHAnsi"/>
          <w:color w:val="000000"/>
          <w:vertAlign w:val="superscript"/>
          <w:lang w:val="el-GR"/>
        </w:rPr>
        <w:t>5</w:t>
      </w:r>
      <w:r w:rsidR="00EC0D8E" w:rsidRPr="005C53A1">
        <w:rPr>
          <w:rFonts w:cstheme="minorHAnsi"/>
          <w:color w:val="000000"/>
          <w:lang w:val="el-GR"/>
        </w:rPr>
        <w:t xml:space="preserve"> Η μακροχρόνια εμπειρία έχει δείξει ότι είναι εύκολη η </w:t>
      </w:r>
      <w:r w:rsidR="00A94F87">
        <w:rPr>
          <w:rFonts w:cstheme="minorHAnsi"/>
          <w:color w:val="000000"/>
          <w:lang w:val="el-GR"/>
        </w:rPr>
        <w:t>ένταξη</w:t>
      </w:r>
      <w:r w:rsidR="00F824D1">
        <w:rPr>
          <w:rFonts w:cstheme="minorHAnsi"/>
          <w:color w:val="000000"/>
          <w:lang w:val="el-GR"/>
        </w:rPr>
        <w:t xml:space="preserve"> </w:t>
      </w:r>
      <w:r w:rsidR="00EC0D8E" w:rsidRPr="005C53A1">
        <w:rPr>
          <w:rFonts w:cstheme="minorHAnsi"/>
          <w:color w:val="000000"/>
          <w:lang w:val="el-GR"/>
        </w:rPr>
        <w:t xml:space="preserve">της θεραπείας με </w:t>
      </w:r>
      <w:r w:rsidRPr="008D45C6">
        <w:rPr>
          <w:rFonts w:cstheme="minorHAnsi"/>
          <w:color w:val="000000"/>
          <w:lang w:val="el-GR"/>
        </w:rPr>
        <w:t xml:space="preserve">φινγκολιμόδη </w:t>
      </w:r>
      <w:r w:rsidR="00EC0D8E" w:rsidRPr="005C53A1">
        <w:rPr>
          <w:rFonts w:cstheme="minorHAnsi"/>
          <w:color w:val="000000"/>
          <w:lang w:val="el-GR"/>
        </w:rPr>
        <w:t xml:space="preserve">στην καθημερινή ζωή των ασθενών, οδηγώντας σε υψηλή ικανοποίηση από τη θεραπεία, μακροχρόνια </w:t>
      </w:r>
      <w:r w:rsidR="00A85A38">
        <w:rPr>
          <w:rFonts w:cstheme="minorHAnsi"/>
          <w:color w:val="000000"/>
          <w:lang w:val="el-GR"/>
        </w:rPr>
        <w:t>παραμονή</w:t>
      </w:r>
      <w:r w:rsidR="00F824D1">
        <w:rPr>
          <w:rFonts w:cstheme="minorHAnsi"/>
          <w:color w:val="000000"/>
          <w:lang w:val="el-GR"/>
        </w:rPr>
        <w:t xml:space="preserve"> </w:t>
      </w:r>
      <w:r w:rsidR="00EC0D8E" w:rsidRPr="005C53A1">
        <w:rPr>
          <w:rFonts w:cstheme="minorHAnsi"/>
          <w:color w:val="000000"/>
          <w:lang w:val="el-GR"/>
        </w:rPr>
        <w:t xml:space="preserve">και, τελικά, μακροχρόνια αποτελέσματα για τους ανθρώπους με </w:t>
      </w:r>
      <w:r w:rsidR="00EC0D8E">
        <w:rPr>
          <w:rFonts w:cstheme="minorHAnsi"/>
          <w:color w:val="000000"/>
        </w:rPr>
        <w:t>RMS</w:t>
      </w:r>
      <w:r w:rsidR="00EC0D8E" w:rsidRPr="005C53A1">
        <w:rPr>
          <w:rFonts w:cstheme="minorHAnsi"/>
          <w:color w:val="000000"/>
          <w:lang w:val="el-GR"/>
        </w:rPr>
        <w:t>.</w:t>
      </w:r>
      <w:r w:rsidR="00EC0D8E" w:rsidRPr="005C53A1">
        <w:rPr>
          <w:rFonts w:cstheme="minorHAnsi"/>
          <w:color w:val="000000"/>
          <w:vertAlign w:val="superscript"/>
          <w:lang w:val="el-GR"/>
        </w:rPr>
        <w:t>5-10</w:t>
      </w:r>
    </w:p>
    <w:p w:rsidR="00EC0D8E" w:rsidRPr="005C53A1" w:rsidRDefault="00EC0D8E" w:rsidP="008D45C6">
      <w:pPr>
        <w:autoSpaceDE w:val="0"/>
        <w:autoSpaceDN w:val="0"/>
        <w:adjustRightInd w:val="0"/>
        <w:jc w:val="both"/>
        <w:rPr>
          <w:rFonts w:cstheme="minorHAnsi"/>
          <w:bCs/>
          <w:color w:val="000000"/>
          <w:lang w:val="el-GR"/>
        </w:rPr>
      </w:pPr>
    </w:p>
    <w:p w:rsidR="00784691" w:rsidRPr="005C53A1" w:rsidRDefault="008D45C6" w:rsidP="008D45C6">
      <w:pPr>
        <w:autoSpaceDE w:val="0"/>
        <w:autoSpaceDN w:val="0"/>
        <w:adjustRightInd w:val="0"/>
        <w:jc w:val="both"/>
        <w:rPr>
          <w:rFonts w:cstheme="minorHAnsi"/>
          <w:bCs/>
          <w:color w:val="000000"/>
          <w:lang w:val="el-GR"/>
        </w:rPr>
      </w:pPr>
      <w:r>
        <w:rPr>
          <w:rFonts w:cstheme="minorHAnsi"/>
          <w:color w:val="000000"/>
          <w:lang w:val="el-GR"/>
        </w:rPr>
        <w:t>Η</w:t>
      </w:r>
      <w:r w:rsidR="00EC0D8E" w:rsidRPr="005C53A1">
        <w:rPr>
          <w:rFonts w:cstheme="minorHAnsi"/>
          <w:color w:val="000000"/>
          <w:lang w:val="el-GR"/>
        </w:rPr>
        <w:t xml:space="preserve"> </w:t>
      </w:r>
      <w:r w:rsidRPr="008D45C6">
        <w:rPr>
          <w:rFonts w:cstheme="minorHAnsi"/>
          <w:color w:val="000000"/>
          <w:lang w:val="el-GR"/>
        </w:rPr>
        <w:t xml:space="preserve">φινγκολιμόδη </w:t>
      </w:r>
      <w:r w:rsidR="00EC0D8E" w:rsidRPr="005C53A1">
        <w:rPr>
          <w:rFonts w:cstheme="minorHAnsi"/>
          <w:color w:val="000000"/>
          <w:lang w:val="el-GR"/>
        </w:rPr>
        <w:t xml:space="preserve">έχει </w:t>
      </w:r>
      <w:r w:rsidR="00F824D1">
        <w:rPr>
          <w:rFonts w:cstheme="minorHAnsi"/>
          <w:color w:val="000000"/>
          <w:lang w:val="el-GR"/>
        </w:rPr>
        <w:t xml:space="preserve">αποδείξει σημαντικά οφέλη και στις </w:t>
      </w:r>
      <w:r w:rsidR="00EC0D8E" w:rsidRPr="005C53A1">
        <w:rPr>
          <w:rFonts w:cstheme="minorHAnsi"/>
          <w:color w:val="000000"/>
          <w:lang w:val="el-GR"/>
        </w:rPr>
        <w:t xml:space="preserve">τέσσερις κύριες μετρήσεις της ενεργότητας της νόσου: τις υποτροπές, τις </w:t>
      </w:r>
      <w:r w:rsidR="00A94F87">
        <w:rPr>
          <w:rFonts w:cstheme="minorHAnsi"/>
          <w:color w:val="000000"/>
          <w:lang w:val="el-GR"/>
        </w:rPr>
        <w:t>βλάβες</w:t>
      </w:r>
      <w:r w:rsidR="00F824D1">
        <w:rPr>
          <w:rFonts w:cstheme="minorHAnsi"/>
          <w:color w:val="000000"/>
          <w:lang w:val="el-GR"/>
        </w:rPr>
        <w:t xml:space="preserve"> </w:t>
      </w:r>
      <w:r w:rsidR="00EC0D8E" w:rsidRPr="005C53A1">
        <w:rPr>
          <w:rFonts w:cstheme="minorHAnsi"/>
          <w:color w:val="000000"/>
          <w:lang w:val="el-GR"/>
        </w:rPr>
        <w:t>στη μαγνητική τομογραφία, την</w:t>
      </w:r>
      <w:r w:rsidR="00F824D1">
        <w:rPr>
          <w:rFonts w:cstheme="minorHAnsi"/>
          <w:color w:val="000000"/>
          <w:lang w:val="el-GR"/>
        </w:rPr>
        <w:t xml:space="preserve"> </w:t>
      </w:r>
      <w:r w:rsidR="00EC0D8E" w:rsidRPr="005C53A1">
        <w:rPr>
          <w:rFonts w:cstheme="minorHAnsi"/>
          <w:color w:val="000000"/>
          <w:lang w:val="el-GR"/>
        </w:rPr>
        <w:t>απώλεια όγκου του εγκεφάλου και την εξέλιξη της αναπηρίας.</w:t>
      </w:r>
      <w:r w:rsidR="00EC0D8E" w:rsidRPr="005C53A1">
        <w:rPr>
          <w:rFonts w:cstheme="minorHAnsi"/>
          <w:color w:val="000000"/>
          <w:vertAlign w:val="superscript"/>
          <w:lang w:val="el-GR"/>
        </w:rPr>
        <w:t>5,6</w:t>
      </w:r>
      <w:r w:rsidR="00EC0D8E" w:rsidRPr="005C53A1">
        <w:rPr>
          <w:rFonts w:cstheme="minorHAnsi"/>
          <w:color w:val="000000"/>
          <w:lang w:val="el-GR"/>
        </w:rPr>
        <w:t xml:space="preserve"> Η αποτελεσματικότητά τ</w:t>
      </w:r>
      <w:r>
        <w:rPr>
          <w:rFonts w:cstheme="minorHAnsi"/>
          <w:color w:val="000000"/>
          <w:lang w:val="el-GR"/>
        </w:rPr>
        <w:t>ης</w:t>
      </w:r>
      <w:r w:rsidR="00EC0D8E" w:rsidRPr="005C53A1">
        <w:rPr>
          <w:rFonts w:cstheme="minorHAnsi"/>
          <w:color w:val="000000"/>
          <w:lang w:val="el-GR"/>
        </w:rPr>
        <w:t xml:space="preserve"> σε όλες αυτές τις μετρήσεις φάνηκε επανειλημμένα σε πολλαπλές ελεγχόμενες κλινικές μελέτες και στο πλαίσιο</w:t>
      </w:r>
      <w:r w:rsidR="00FB1600">
        <w:rPr>
          <w:rFonts w:cstheme="minorHAnsi"/>
          <w:color w:val="000000"/>
          <w:lang w:val="el-GR"/>
        </w:rPr>
        <w:t xml:space="preserve"> καθημερινών συνθηκών</w:t>
      </w:r>
      <w:r w:rsidR="00EC0D8E" w:rsidRPr="005C53A1">
        <w:rPr>
          <w:rFonts w:cstheme="minorHAnsi"/>
          <w:color w:val="000000"/>
          <w:lang w:val="el-GR"/>
        </w:rPr>
        <w:t>.</w:t>
      </w:r>
      <w:r w:rsidR="00EC0D8E" w:rsidRPr="005C53A1">
        <w:rPr>
          <w:rFonts w:cstheme="minorHAnsi"/>
          <w:color w:val="000000"/>
          <w:vertAlign w:val="superscript"/>
          <w:lang w:val="el-GR"/>
        </w:rPr>
        <w:t>5,11,12,13,14</w:t>
      </w:r>
      <w:r w:rsidR="00EC0D8E" w:rsidRPr="005C53A1">
        <w:rPr>
          <w:rFonts w:cstheme="minorHAnsi"/>
          <w:color w:val="000000"/>
          <w:lang w:val="el-GR"/>
        </w:rPr>
        <w:t xml:space="preserve"> Οι μελέτες έχουν δείξει ότι η ασφάλεια και η υψηλή αποτελεσματικότητά τ</w:t>
      </w:r>
      <w:r w:rsidR="006C3C51">
        <w:rPr>
          <w:rFonts w:cstheme="minorHAnsi"/>
          <w:color w:val="000000"/>
          <w:lang w:val="el-GR"/>
        </w:rPr>
        <w:t>ης</w:t>
      </w:r>
      <w:r w:rsidR="00EC0D8E" w:rsidRPr="005C53A1">
        <w:rPr>
          <w:rFonts w:cstheme="minorHAnsi"/>
          <w:color w:val="000000"/>
          <w:lang w:val="el-GR"/>
        </w:rPr>
        <w:t xml:space="preserve"> διατηρούνται μακροπρόθεσμα, αποδεικνύοντας ότι η </w:t>
      </w:r>
      <w:r w:rsidR="00FB1600">
        <w:rPr>
          <w:rFonts w:cstheme="minorHAnsi"/>
          <w:color w:val="000000"/>
          <w:lang w:val="el-GR"/>
        </w:rPr>
        <w:t xml:space="preserve">έγκαιρη </w:t>
      </w:r>
      <w:r w:rsidR="00EC0D8E" w:rsidRPr="005C53A1">
        <w:rPr>
          <w:rFonts w:cstheme="minorHAnsi"/>
          <w:color w:val="000000"/>
          <w:lang w:val="el-GR"/>
        </w:rPr>
        <w:t xml:space="preserve">αλλαγή σε θεραπεία με </w:t>
      </w:r>
      <w:r w:rsidR="006C3C51" w:rsidRPr="006C3C51">
        <w:rPr>
          <w:rFonts w:cstheme="minorHAnsi"/>
          <w:color w:val="000000"/>
          <w:lang w:val="el-GR"/>
        </w:rPr>
        <w:t xml:space="preserve">φινγκολιμόδη </w:t>
      </w:r>
      <w:r w:rsidR="00EC0D8E" w:rsidRPr="005C53A1">
        <w:rPr>
          <w:rFonts w:cstheme="minorHAnsi"/>
          <w:color w:val="000000"/>
          <w:lang w:val="el-GR"/>
        </w:rPr>
        <w:t>στην πορεία της νόσου μπορεί να είναι επωφελής για τη διατήρηση της λειτουργίας των ατόμων.</w:t>
      </w:r>
      <w:r w:rsidR="00EC0D8E" w:rsidRPr="005C53A1">
        <w:rPr>
          <w:rFonts w:cstheme="minorHAnsi"/>
          <w:color w:val="000000"/>
          <w:vertAlign w:val="superscript"/>
          <w:lang w:val="el-GR"/>
        </w:rPr>
        <w:t>13,15</w:t>
      </w:r>
      <w:r w:rsidR="00EC0D8E" w:rsidRPr="005C53A1">
        <w:rPr>
          <w:rFonts w:cstheme="minorHAnsi"/>
          <w:color w:val="000000"/>
          <w:lang w:val="el-GR"/>
        </w:rPr>
        <w:t xml:space="preserve"> </w:t>
      </w:r>
    </w:p>
    <w:p w:rsidR="005F5018" w:rsidRPr="005C53A1" w:rsidRDefault="005F5018" w:rsidP="008D45C6">
      <w:pPr>
        <w:autoSpaceDE w:val="0"/>
        <w:autoSpaceDN w:val="0"/>
        <w:adjustRightInd w:val="0"/>
        <w:jc w:val="both"/>
        <w:rPr>
          <w:rFonts w:cstheme="minorHAnsi"/>
          <w:bCs/>
          <w:color w:val="000000"/>
          <w:lang w:val="el-GR"/>
        </w:rPr>
      </w:pPr>
    </w:p>
    <w:p w:rsidR="00791750" w:rsidRPr="005C53A1" w:rsidRDefault="006C3C51" w:rsidP="008D45C6">
      <w:pPr>
        <w:autoSpaceDE w:val="0"/>
        <w:autoSpaceDN w:val="0"/>
        <w:adjustRightInd w:val="0"/>
        <w:jc w:val="both"/>
        <w:rPr>
          <w:rFonts w:cstheme="minorHAnsi"/>
          <w:bCs/>
          <w:color w:val="000000"/>
          <w:vertAlign w:val="superscript"/>
          <w:lang w:val="el-GR"/>
        </w:rPr>
      </w:pPr>
      <w:r>
        <w:rPr>
          <w:rFonts w:cstheme="minorHAnsi"/>
          <w:color w:val="000000"/>
          <w:lang w:val="el-GR"/>
        </w:rPr>
        <w:t xml:space="preserve">Η </w:t>
      </w:r>
      <w:r w:rsidRPr="006C3C51">
        <w:rPr>
          <w:rFonts w:cstheme="minorHAnsi"/>
          <w:color w:val="000000"/>
          <w:lang w:val="el-GR"/>
        </w:rPr>
        <w:t xml:space="preserve">φινγκολιμόδη </w:t>
      </w:r>
      <w:r w:rsidR="00791750" w:rsidRPr="005C53A1">
        <w:rPr>
          <w:rFonts w:cstheme="minorHAnsi"/>
          <w:color w:val="000000"/>
          <w:lang w:val="el-GR"/>
        </w:rPr>
        <w:t xml:space="preserve">είναι εγκεκριμένο στις ΗΠΑ </w:t>
      </w:r>
      <w:r w:rsidR="00FB1600">
        <w:rPr>
          <w:rFonts w:cstheme="minorHAnsi"/>
          <w:color w:val="000000"/>
          <w:lang w:val="el-GR"/>
        </w:rPr>
        <w:t>ως</w:t>
      </w:r>
      <w:r w:rsidR="00F824D1">
        <w:rPr>
          <w:rFonts w:cstheme="minorHAnsi"/>
          <w:color w:val="000000"/>
          <w:lang w:val="el-GR"/>
        </w:rPr>
        <w:t xml:space="preserve"> </w:t>
      </w:r>
      <w:r w:rsidR="00791750" w:rsidRPr="005C53A1">
        <w:rPr>
          <w:rFonts w:cstheme="minorHAnsi"/>
          <w:color w:val="000000"/>
          <w:lang w:val="el-GR"/>
        </w:rPr>
        <w:t xml:space="preserve">πρώτης γραμμής </w:t>
      </w:r>
      <w:r w:rsidR="00FB1600">
        <w:rPr>
          <w:rFonts w:cstheme="minorHAnsi"/>
          <w:color w:val="000000"/>
          <w:lang w:val="el-GR"/>
        </w:rPr>
        <w:t>θεραπεία για τις υποτροπιάζουσες</w:t>
      </w:r>
      <w:r w:rsidR="00F824D1">
        <w:rPr>
          <w:rFonts w:cstheme="minorHAnsi"/>
          <w:color w:val="000000"/>
          <w:lang w:val="el-GR"/>
        </w:rPr>
        <w:t xml:space="preserve"> </w:t>
      </w:r>
      <w:r w:rsidR="00791750" w:rsidRPr="005C53A1">
        <w:rPr>
          <w:rFonts w:cstheme="minorHAnsi"/>
          <w:color w:val="000000"/>
          <w:lang w:val="el-GR"/>
        </w:rPr>
        <w:t>μορφ</w:t>
      </w:r>
      <w:r w:rsidR="00FB1600">
        <w:rPr>
          <w:rFonts w:cstheme="minorHAnsi"/>
          <w:color w:val="000000"/>
          <w:lang w:val="el-GR"/>
        </w:rPr>
        <w:t>ές</w:t>
      </w:r>
      <w:r w:rsidR="00791750" w:rsidRPr="005C53A1">
        <w:rPr>
          <w:rFonts w:cstheme="minorHAnsi"/>
          <w:color w:val="000000"/>
          <w:lang w:val="el-GR"/>
        </w:rPr>
        <w:t xml:space="preserve"> της ΠΣ σε ενήλικες και στην Ε.Ε. για ενήλικες ασθενείς με </w:t>
      </w:r>
      <w:r w:rsidR="00FB1600">
        <w:rPr>
          <w:rFonts w:cstheme="minorHAnsi"/>
          <w:color w:val="000000"/>
          <w:lang w:val="el-GR"/>
        </w:rPr>
        <w:t>υψηλής</w:t>
      </w:r>
      <w:r w:rsidR="00F824D1">
        <w:rPr>
          <w:rFonts w:cstheme="minorHAnsi"/>
          <w:color w:val="000000"/>
          <w:lang w:val="el-GR"/>
        </w:rPr>
        <w:t xml:space="preserve"> </w:t>
      </w:r>
      <w:r w:rsidR="00FB1600">
        <w:rPr>
          <w:rFonts w:cstheme="minorHAnsi"/>
          <w:color w:val="000000"/>
          <w:lang w:val="el-GR"/>
        </w:rPr>
        <w:t>ενεργότητας</w:t>
      </w:r>
      <w:r w:rsidR="00F824D1">
        <w:rPr>
          <w:rFonts w:cstheme="minorHAnsi"/>
          <w:color w:val="000000"/>
          <w:lang w:val="el-GR"/>
        </w:rPr>
        <w:t xml:space="preserve"> </w:t>
      </w:r>
      <w:r w:rsidR="00791750" w:rsidRPr="005C53A1">
        <w:rPr>
          <w:rFonts w:cstheme="minorHAnsi"/>
          <w:color w:val="000000"/>
          <w:lang w:val="el-GR"/>
        </w:rPr>
        <w:t>υποτροπιάζουσα διαλείπουσα ΠΣ (</w:t>
      </w:r>
      <w:r w:rsidR="00791750">
        <w:rPr>
          <w:rFonts w:cstheme="minorHAnsi"/>
          <w:color w:val="000000"/>
        </w:rPr>
        <w:t>RRMS</w:t>
      </w:r>
      <w:r w:rsidR="00791750" w:rsidRPr="005C53A1">
        <w:rPr>
          <w:rFonts w:cstheme="minorHAnsi"/>
          <w:color w:val="000000"/>
          <w:lang w:val="el-GR"/>
        </w:rPr>
        <w:t>)</w:t>
      </w:r>
      <w:r w:rsidR="00F824D1">
        <w:rPr>
          <w:rFonts w:cstheme="minorHAnsi"/>
          <w:color w:val="000000"/>
          <w:lang w:val="el-GR"/>
        </w:rPr>
        <w:t>,</w:t>
      </w:r>
      <w:r w:rsidR="00791750" w:rsidRPr="005C53A1">
        <w:rPr>
          <w:rFonts w:cstheme="minorHAnsi"/>
          <w:color w:val="000000"/>
          <w:lang w:val="el-GR"/>
        </w:rPr>
        <w:t xml:space="preserve"> η οποία ορίζεται είτε ως υψηλή ενεργότητα της νόσου παρά τη θεραπεία με ένα τουλάχιστον τροποποιητικό της νόσου φάρμακο είτε ως ταχέως εξελισσόμενη, σοβαρή </w:t>
      </w:r>
      <w:r w:rsidR="00791750">
        <w:rPr>
          <w:rFonts w:cstheme="minorHAnsi"/>
          <w:color w:val="000000"/>
        </w:rPr>
        <w:t>RRMS</w:t>
      </w:r>
      <w:r w:rsidR="00791750" w:rsidRPr="005C53A1">
        <w:rPr>
          <w:rFonts w:cstheme="minorHAnsi"/>
          <w:color w:val="000000"/>
          <w:lang w:val="el-GR"/>
        </w:rPr>
        <w:t>.</w:t>
      </w:r>
      <w:r w:rsidR="00791750" w:rsidRPr="005C53A1">
        <w:rPr>
          <w:rFonts w:cstheme="minorHAnsi"/>
          <w:color w:val="000000"/>
          <w:vertAlign w:val="superscript"/>
          <w:lang w:val="el-GR"/>
        </w:rPr>
        <w:t>15</w:t>
      </w:r>
    </w:p>
    <w:p w:rsidR="00791750" w:rsidRPr="005C53A1" w:rsidRDefault="00791750" w:rsidP="008D45C6">
      <w:pPr>
        <w:autoSpaceDE w:val="0"/>
        <w:autoSpaceDN w:val="0"/>
        <w:adjustRightInd w:val="0"/>
        <w:jc w:val="both"/>
        <w:rPr>
          <w:rFonts w:cstheme="minorHAnsi"/>
          <w:bCs/>
          <w:color w:val="000000"/>
          <w:lang w:val="el-GR"/>
        </w:rPr>
      </w:pPr>
    </w:p>
    <w:p w:rsidR="00784691" w:rsidRDefault="006C3C51" w:rsidP="008D45C6">
      <w:pPr>
        <w:autoSpaceDE w:val="0"/>
        <w:autoSpaceDN w:val="0"/>
        <w:adjustRightInd w:val="0"/>
        <w:jc w:val="both"/>
        <w:rPr>
          <w:rFonts w:cstheme="minorHAnsi"/>
          <w:color w:val="000000"/>
          <w:lang w:val="el-GR"/>
        </w:rPr>
      </w:pPr>
      <w:r>
        <w:rPr>
          <w:rFonts w:cstheme="minorHAnsi"/>
          <w:color w:val="000000"/>
          <w:lang w:val="el-GR"/>
        </w:rPr>
        <w:t xml:space="preserve">Η </w:t>
      </w:r>
      <w:r w:rsidRPr="006C3C51">
        <w:rPr>
          <w:rFonts w:cstheme="minorHAnsi"/>
          <w:color w:val="000000"/>
          <w:lang w:val="el-GR"/>
        </w:rPr>
        <w:t xml:space="preserve">φινγκολιμόδη </w:t>
      </w:r>
      <w:r w:rsidR="00784691" w:rsidRPr="005C53A1">
        <w:rPr>
          <w:rFonts w:cstheme="minorHAnsi"/>
          <w:color w:val="000000"/>
          <w:lang w:val="el-GR"/>
        </w:rPr>
        <w:t xml:space="preserve">έχει χρησιμοποιηθεί για τη θεραπεία περίπου 155.000 ασθενών τόσο σε κλινικές </w:t>
      </w:r>
      <w:r w:rsidR="007606DC">
        <w:rPr>
          <w:rFonts w:cstheme="minorHAnsi"/>
          <w:color w:val="000000"/>
          <w:lang w:val="el-GR"/>
        </w:rPr>
        <w:t>μελέτες</w:t>
      </w:r>
      <w:r>
        <w:rPr>
          <w:rFonts w:cstheme="minorHAnsi"/>
          <w:color w:val="000000"/>
          <w:lang w:val="el-GR"/>
        </w:rPr>
        <w:t xml:space="preserve"> </w:t>
      </w:r>
      <w:r w:rsidR="00784691" w:rsidRPr="005C53A1">
        <w:rPr>
          <w:rFonts w:cstheme="minorHAnsi"/>
          <w:color w:val="000000"/>
          <w:lang w:val="el-GR"/>
        </w:rPr>
        <w:t>όσο και στο μετεγκριτικό πλαίσιο, με περίπου 343.000 έτη εμπειρίας των ασθενών συνολικά.</w:t>
      </w:r>
      <w:r w:rsidR="00784691" w:rsidRPr="005C53A1">
        <w:rPr>
          <w:rFonts w:cstheme="minorHAnsi"/>
          <w:color w:val="000000"/>
          <w:vertAlign w:val="superscript"/>
          <w:lang w:val="el-GR"/>
        </w:rPr>
        <w:t>16</w:t>
      </w:r>
      <w:r w:rsidR="00784691" w:rsidRPr="005C53A1">
        <w:rPr>
          <w:rFonts w:cstheme="minorHAnsi"/>
          <w:color w:val="000000"/>
          <w:lang w:val="el-GR"/>
        </w:rPr>
        <w:t xml:space="preserve"> </w:t>
      </w:r>
    </w:p>
    <w:p w:rsidR="006C3C51" w:rsidRPr="005C53A1" w:rsidRDefault="006C3C51" w:rsidP="008D45C6">
      <w:pPr>
        <w:autoSpaceDE w:val="0"/>
        <w:autoSpaceDN w:val="0"/>
        <w:adjustRightInd w:val="0"/>
        <w:jc w:val="both"/>
        <w:rPr>
          <w:rFonts w:cstheme="minorHAnsi"/>
          <w:bCs/>
          <w:strike/>
          <w:color w:val="000000"/>
          <w:vertAlign w:val="superscript"/>
          <w:lang w:val="el-GR"/>
        </w:rPr>
      </w:pPr>
    </w:p>
    <w:p w:rsidR="00784691" w:rsidRPr="005C53A1" w:rsidRDefault="00784691" w:rsidP="008D45C6">
      <w:pPr>
        <w:autoSpaceDE w:val="0"/>
        <w:autoSpaceDN w:val="0"/>
        <w:adjustRightInd w:val="0"/>
        <w:jc w:val="both"/>
        <w:rPr>
          <w:rFonts w:cstheme="minorHAnsi"/>
          <w:b/>
          <w:bCs/>
          <w:color w:val="000000"/>
          <w:lang w:val="el-GR"/>
        </w:rPr>
      </w:pPr>
    </w:p>
    <w:p w:rsidR="00784691" w:rsidRPr="005C53A1" w:rsidRDefault="00784691" w:rsidP="008D45C6">
      <w:pPr>
        <w:autoSpaceDE w:val="0"/>
        <w:autoSpaceDN w:val="0"/>
        <w:adjustRightInd w:val="0"/>
        <w:jc w:val="both"/>
        <w:rPr>
          <w:rFonts w:cstheme="minorHAnsi"/>
          <w:b/>
          <w:bCs/>
          <w:color w:val="000000"/>
          <w:lang w:val="el-GR"/>
        </w:rPr>
      </w:pPr>
      <w:r w:rsidRPr="005C53A1">
        <w:rPr>
          <w:rFonts w:cstheme="minorHAnsi"/>
          <w:b/>
          <w:color w:val="000000"/>
          <w:lang w:val="el-GR"/>
        </w:rPr>
        <w:lastRenderedPageBreak/>
        <w:t>Σχετικά με την πολλαπλή σκλήρυνση</w:t>
      </w:r>
    </w:p>
    <w:p w:rsidR="00784691" w:rsidRPr="005C53A1" w:rsidRDefault="00784691" w:rsidP="008D45C6">
      <w:pPr>
        <w:autoSpaceDE w:val="0"/>
        <w:autoSpaceDN w:val="0"/>
        <w:adjustRightInd w:val="0"/>
        <w:jc w:val="both"/>
        <w:rPr>
          <w:rFonts w:cstheme="minorHAnsi"/>
          <w:bCs/>
          <w:color w:val="000000"/>
          <w:vertAlign w:val="superscript"/>
          <w:lang w:val="el-GR"/>
        </w:rPr>
      </w:pPr>
      <w:r w:rsidRPr="005C53A1">
        <w:rPr>
          <w:rFonts w:cstheme="minorHAnsi"/>
          <w:color w:val="000000"/>
          <w:lang w:val="el-GR"/>
        </w:rPr>
        <w:t>Η πολλαπλή σκλήρυνση (ΠΣ) είναι μία χρόνια διαταραχή του κεντρικού νευρικού συστήματος (ΚΝΣ) που διαταράσσει τη φυσιολογική λειτουργία του εγκεφάλου, των οπτικών νεύρων και του νωτιαίου μυελού μέσω της φλεγμονής και της απώλειας ιστού.</w:t>
      </w:r>
      <w:r w:rsidRPr="005C53A1">
        <w:rPr>
          <w:rFonts w:cstheme="minorHAnsi"/>
          <w:color w:val="000000"/>
          <w:vertAlign w:val="superscript"/>
          <w:lang w:val="el-GR"/>
        </w:rPr>
        <w:t>17</w:t>
      </w:r>
      <w:r w:rsidRPr="005C53A1">
        <w:rPr>
          <w:rFonts w:cstheme="minorHAnsi"/>
          <w:color w:val="000000"/>
          <w:lang w:val="el-GR"/>
        </w:rPr>
        <w:t xml:space="preserve"> Υπάρχουν τρεις τύποι ΠΣ: </w:t>
      </w:r>
      <w:r w:rsidR="007606DC">
        <w:rPr>
          <w:rFonts w:cstheme="minorHAnsi"/>
          <w:color w:val="000000"/>
          <w:lang w:val="el-GR"/>
        </w:rPr>
        <w:t>Υ</w:t>
      </w:r>
      <w:r w:rsidRPr="005C53A1">
        <w:rPr>
          <w:rFonts w:cstheme="minorHAnsi"/>
          <w:color w:val="000000"/>
          <w:lang w:val="el-GR"/>
        </w:rPr>
        <w:t xml:space="preserve">ποτροπιάζουσα </w:t>
      </w:r>
      <w:r w:rsidR="007606DC">
        <w:rPr>
          <w:rFonts w:cstheme="minorHAnsi"/>
          <w:color w:val="000000"/>
          <w:lang w:val="el-GR"/>
        </w:rPr>
        <w:t>Δ</w:t>
      </w:r>
      <w:r w:rsidRPr="005C53A1">
        <w:rPr>
          <w:rFonts w:cstheme="minorHAnsi"/>
          <w:color w:val="000000"/>
          <w:lang w:val="el-GR"/>
        </w:rPr>
        <w:t>ιαλείπουσα ΠΣ (</w:t>
      </w:r>
      <w:r>
        <w:rPr>
          <w:rFonts w:cstheme="minorHAnsi"/>
          <w:color w:val="000000"/>
        </w:rPr>
        <w:t>RRMS</w:t>
      </w:r>
      <w:r w:rsidRPr="005C53A1">
        <w:rPr>
          <w:rFonts w:cstheme="minorHAnsi"/>
          <w:color w:val="000000"/>
          <w:lang w:val="el-GR"/>
        </w:rPr>
        <w:t xml:space="preserve">), </w:t>
      </w:r>
      <w:r w:rsidR="007606DC">
        <w:rPr>
          <w:rFonts w:cstheme="minorHAnsi"/>
          <w:color w:val="000000"/>
          <w:lang w:val="el-GR"/>
        </w:rPr>
        <w:t>Δ</w:t>
      </w:r>
      <w:r w:rsidRPr="005C53A1">
        <w:rPr>
          <w:rFonts w:cstheme="minorHAnsi"/>
          <w:color w:val="000000"/>
          <w:lang w:val="el-GR"/>
        </w:rPr>
        <w:t xml:space="preserve">ευτεροπαθώς </w:t>
      </w:r>
      <w:r w:rsidR="007606DC">
        <w:rPr>
          <w:rFonts w:cstheme="minorHAnsi"/>
          <w:color w:val="000000"/>
          <w:lang w:val="el-GR"/>
        </w:rPr>
        <w:t>Π</w:t>
      </w:r>
      <w:r w:rsidRPr="005C53A1">
        <w:rPr>
          <w:rFonts w:cstheme="minorHAnsi"/>
          <w:color w:val="000000"/>
          <w:lang w:val="el-GR"/>
        </w:rPr>
        <w:t>ροϊούσα ΠΣ (</w:t>
      </w:r>
      <w:r>
        <w:rPr>
          <w:rFonts w:cstheme="minorHAnsi"/>
          <w:color w:val="000000"/>
        </w:rPr>
        <w:t>SPMS</w:t>
      </w:r>
      <w:r w:rsidRPr="005C53A1">
        <w:rPr>
          <w:rFonts w:cstheme="minorHAnsi"/>
          <w:color w:val="000000"/>
          <w:lang w:val="el-GR"/>
        </w:rPr>
        <w:t xml:space="preserve">) και </w:t>
      </w:r>
      <w:r w:rsidR="007606DC">
        <w:rPr>
          <w:rFonts w:cstheme="minorHAnsi"/>
          <w:color w:val="000000"/>
          <w:lang w:val="el-GR"/>
        </w:rPr>
        <w:t>Π</w:t>
      </w:r>
      <w:r w:rsidRPr="005C53A1">
        <w:rPr>
          <w:rFonts w:cstheme="minorHAnsi"/>
          <w:color w:val="000000"/>
          <w:lang w:val="el-GR"/>
        </w:rPr>
        <w:t xml:space="preserve">ρωτοπαθώς </w:t>
      </w:r>
      <w:r w:rsidR="007606DC">
        <w:rPr>
          <w:rFonts w:cstheme="minorHAnsi"/>
          <w:color w:val="000000"/>
          <w:lang w:val="el-GR"/>
        </w:rPr>
        <w:t>Π</w:t>
      </w:r>
      <w:r w:rsidRPr="005C53A1">
        <w:rPr>
          <w:rFonts w:cstheme="minorHAnsi"/>
          <w:color w:val="000000"/>
          <w:lang w:val="el-GR"/>
        </w:rPr>
        <w:t>ροϊούσα ΠΣ (</w:t>
      </w:r>
      <w:r>
        <w:rPr>
          <w:rFonts w:cstheme="minorHAnsi"/>
          <w:color w:val="000000"/>
        </w:rPr>
        <w:t>PPMS</w:t>
      </w:r>
      <w:r w:rsidRPr="005C53A1">
        <w:rPr>
          <w:rFonts w:cstheme="minorHAnsi"/>
          <w:color w:val="000000"/>
          <w:lang w:val="el-GR"/>
        </w:rPr>
        <w:t>).</w:t>
      </w:r>
      <w:r w:rsidRPr="005C53A1">
        <w:rPr>
          <w:rFonts w:cstheme="minorHAnsi"/>
          <w:color w:val="000000"/>
          <w:vertAlign w:val="superscript"/>
          <w:lang w:val="el-GR"/>
        </w:rPr>
        <w:t>18</w:t>
      </w:r>
      <w:r w:rsidRPr="005C53A1">
        <w:rPr>
          <w:rFonts w:cstheme="minorHAnsi"/>
          <w:color w:val="000000"/>
          <w:lang w:val="el-GR"/>
        </w:rPr>
        <w:t xml:space="preserve"> Η εξέλιξη της ΠΣ οδηγεί σε αυξανόμενη απώλεια τόσο της σωματικής (π.χ. βάδιση) όσο και της </w:t>
      </w:r>
      <w:r w:rsidR="007606DC">
        <w:rPr>
          <w:rFonts w:cstheme="minorHAnsi"/>
          <w:color w:val="000000"/>
          <w:lang w:val="el-GR"/>
        </w:rPr>
        <w:t>γνωσιακής</w:t>
      </w:r>
      <w:r w:rsidR="006C3C51">
        <w:rPr>
          <w:rFonts w:cstheme="minorHAnsi"/>
          <w:color w:val="000000"/>
          <w:lang w:val="el-GR"/>
        </w:rPr>
        <w:t xml:space="preserve"> </w:t>
      </w:r>
      <w:r w:rsidRPr="005C53A1">
        <w:rPr>
          <w:rFonts w:cstheme="minorHAnsi"/>
          <w:color w:val="000000"/>
          <w:lang w:val="el-GR"/>
        </w:rPr>
        <w:t>λειτουργίας (π.χ. μνήμη). Αυτό έχει σημαντικ</w:t>
      </w:r>
      <w:r w:rsidR="007606DC">
        <w:rPr>
          <w:rFonts w:cstheme="minorHAnsi"/>
          <w:color w:val="000000"/>
          <w:lang w:val="el-GR"/>
        </w:rPr>
        <w:t>ά</w:t>
      </w:r>
      <w:r w:rsidRPr="005C53A1">
        <w:rPr>
          <w:rFonts w:cstheme="minorHAnsi"/>
          <w:color w:val="000000"/>
          <w:lang w:val="el-GR"/>
        </w:rPr>
        <w:t xml:space="preserve"> αρνητικό αντίκτυπο στις ζωές περίπου 2,3 εκατομμυρίων ανθρώπων παγκοσμίως που πάσχουν από ΠΣ.</w:t>
      </w:r>
      <w:r w:rsidRPr="005C53A1">
        <w:rPr>
          <w:rFonts w:cstheme="minorHAnsi"/>
          <w:color w:val="000000"/>
          <w:vertAlign w:val="superscript"/>
          <w:lang w:val="el-GR"/>
        </w:rPr>
        <w:t>19</w:t>
      </w:r>
    </w:p>
    <w:p w:rsidR="00784691" w:rsidRPr="005C53A1" w:rsidRDefault="00784691" w:rsidP="008D45C6">
      <w:pPr>
        <w:autoSpaceDE w:val="0"/>
        <w:autoSpaceDN w:val="0"/>
        <w:adjustRightInd w:val="0"/>
        <w:jc w:val="both"/>
        <w:rPr>
          <w:rFonts w:cstheme="minorHAnsi"/>
          <w:bCs/>
          <w:color w:val="000000"/>
          <w:lang w:val="el-GR"/>
        </w:rPr>
      </w:pPr>
    </w:p>
    <w:p w:rsidR="00784691" w:rsidRPr="005C53A1" w:rsidRDefault="00784691" w:rsidP="008D45C6">
      <w:pPr>
        <w:autoSpaceDE w:val="0"/>
        <w:autoSpaceDN w:val="0"/>
        <w:adjustRightInd w:val="0"/>
        <w:jc w:val="both"/>
        <w:rPr>
          <w:rFonts w:cstheme="minorHAnsi"/>
          <w:b/>
          <w:bCs/>
          <w:color w:val="000000"/>
          <w:lang w:val="el-GR"/>
        </w:rPr>
      </w:pPr>
      <w:r w:rsidRPr="005C53A1">
        <w:rPr>
          <w:rFonts w:cstheme="minorHAnsi"/>
          <w:b/>
          <w:color w:val="000000"/>
          <w:lang w:val="el-GR"/>
        </w:rPr>
        <w:t xml:space="preserve">Σχετικά με τη </w:t>
      </w:r>
      <w:r>
        <w:rPr>
          <w:rFonts w:cstheme="minorHAnsi"/>
          <w:b/>
          <w:color w:val="000000"/>
        </w:rPr>
        <w:t>Novartis</w:t>
      </w:r>
      <w:r w:rsidRPr="005C53A1">
        <w:rPr>
          <w:rFonts w:cstheme="minorHAnsi"/>
          <w:b/>
          <w:color w:val="000000"/>
          <w:lang w:val="el-GR"/>
        </w:rPr>
        <w:t xml:space="preserve"> στην πολλαπλή σκλήρυνση</w:t>
      </w:r>
    </w:p>
    <w:p w:rsidR="00784691" w:rsidRPr="005C53A1" w:rsidRDefault="00784691" w:rsidP="008D45C6">
      <w:pPr>
        <w:autoSpaceDE w:val="0"/>
        <w:autoSpaceDN w:val="0"/>
        <w:adjustRightInd w:val="0"/>
        <w:jc w:val="both"/>
        <w:rPr>
          <w:rFonts w:cstheme="minorHAnsi"/>
          <w:bCs/>
          <w:color w:val="000000"/>
          <w:lang w:val="el-GR"/>
        </w:rPr>
      </w:pPr>
      <w:r w:rsidRPr="005C53A1">
        <w:rPr>
          <w:rFonts w:cstheme="minorHAnsi"/>
          <w:color w:val="000000"/>
          <w:lang w:val="el-GR"/>
        </w:rPr>
        <w:t xml:space="preserve">Το χαρτοφυλάκιο της </w:t>
      </w:r>
      <w:r>
        <w:rPr>
          <w:rFonts w:cstheme="minorHAnsi"/>
          <w:color w:val="000000"/>
        </w:rPr>
        <w:t>Novartis</w:t>
      </w:r>
      <w:r w:rsidR="006C3C51">
        <w:rPr>
          <w:rFonts w:cstheme="minorHAnsi"/>
          <w:color w:val="000000"/>
          <w:lang w:val="el-GR"/>
        </w:rPr>
        <w:t xml:space="preserve"> για την ΠΣ περιλαμβάνει τη</w:t>
      </w:r>
      <w:r w:rsidRPr="005C53A1">
        <w:rPr>
          <w:rFonts w:cstheme="minorHAnsi"/>
          <w:color w:val="000000"/>
          <w:lang w:val="el-GR"/>
        </w:rPr>
        <w:t xml:space="preserve"> </w:t>
      </w:r>
      <w:r w:rsidR="006C3C51">
        <w:rPr>
          <w:rFonts w:cstheme="minorHAnsi"/>
          <w:color w:val="000000"/>
          <w:lang w:val="el-GR"/>
        </w:rPr>
        <w:t>φινγκολιμόδη</w:t>
      </w:r>
      <w:r w:rsidRPr="005C53A1">
        <w:rPr>
          <w:rFonts w:cstheme="minorHAnsi"/>
          <w:color w:val="000000"/>
          <w:lang w:val="el-GR"/>
        </w:rPr>
        <w:t xml:space="preserve">, </w:t>
      </w:r>
      <w:r w:rsidR="006C3C51">
        <w:rPr>
          <w:rFonts w:cstheme="minorHAnsi"/>
          <w:color w:val="000000"/>
          <w:lang w:val="el-GR"/>
        </w:rPr>
        <w:t>η οποία</w:t>
      </w:r>
      <w:r w:rsidRPr="005C53A1">
        <w:rPr>
          <w:rFonts w:cstheme="minorHAnsi"/>
          <w:color w:val="000000"/>
          <w:lang w:val="el-GR"/>
        </w:rPr>
        <w:t xml:space="preserve"> ενδείκνυται για τις υποτροπιάζουσες μορφές της ΠΣ, ενώ βρίσκεται επίσης σε φάση ανάπτ</w:t>
      </w:r>
      <w:r w:rsidR="006C3C51">
        <w:rPr>
          <w:rFonts w:cstheme="minorHAnsi"/>
          <w:color w:val="000000"/>
          <w:lang w:val="el-GR"/>
        </w:rPr>
        <w:t xml:space="preserve">υξης για την παιδιατρική ΠΣ. Η </w:t>
      </w:r>
      <w:r w:rsidRPr="005C53A1">
        <w:rPr>
          <w:rFonts w:cstheme="minorHAnsi"/>
          <w:color w:val="000000"/>
          <w:lang w:val="el-GR"/>
        </w:rPr>
        <w:t>ιντερφερόνη βήτα-1</w:t>
      </w:r>
      <w:r>
        <w:rPr>
          <w:rFonts w:cstheme="minorHAnsi"/>
          <w:color w:val="000000"/>
        </w:rPr>
        <w:t>b</w:t>
      </w:r>
      <w:r w:rsidR="006C3C51">
        <w:rPr>
          <w:rFonts w:cstheme="minorHAnsi"/>
          <w:color w:val="000000"/>
          <w:lang w:val="el-GR"/>
        </w:rPr>
        <w:t xml:space="preserve"> για υποδόρια ένεση είναι εγκεκριμένη</w:t>
      </w:r>
      <w:r w:rsidRPr="005C53A1">
        <w:rPr>
          <w:rFonts w:cstheme="minorHAnsi"/>
          <w:color w:val="000000"/>
          <w:lang w:val="el-GR"/>
        </w:rPr>
        <w:t xml:space="preserve"> στις ΗΠΑ για τη θεραπεία των υποτροπιαζουσών μορφών της ΠΣ. Στην Ευρώπη, </w:t>
      </w:r>
      <w:r w:rsidR="006C3C51">
        <w:rPr>
          <w:rFonts w:cstheme="minorHAnsi"/>
          <w:color w:val="000000"/>
          <w:lang w:val="el-GR"/>
        </w:rPr>
        <w:t>η</w:t>
      </w:r>
      <w:r w:rsidRPr="005C53A1">
        <w:rPr>
          <w:rFonts w:cstheme="minorHAnsi"/>
          <w:color w:val="000000"/>
          <w:lang w:val="el-GR"/>
        </w:rPr>
        <w:t xml:space="preserve"> </w:t>
      </w:r>
      <w:r w:rsidR="006C3C51" w:rsidRPr="006C3C51">
        <w:rPr>
          <w:rFonts w:cstheme="minorHAnsi"/>
          <w:color w:val="000000"/>
          <w:lang w:val="el-GR"/>
        </w:rPr>
        <w:t xml:space="preserve">ιντερφερόνη βήτα-1b για υποδόρια ένεση </w:t>
      </w:r>
      <w:r w:rsidR="006C3C51">
        <w:rPr>
          <w:rFonts w:cstheme="minorHAnsi"/>
          <w:color w:val="000000"/>
          <w:lang w:val="el-GR"/>
        </w:rPr>
        <w:t>είναι εγκεκριμένη</w:t>
      </w:r>
      <w:r w:rsidRPr="005C53A1">
        <w:rPr>
          <w:rFonts w:cstheme="minorHAnsi"/>
          <w:color w:val="000000"/>
          <w:lang w:val="el-GR"/>
        </w:rPr>
        <w:t xml:space="preserve"> για τη θεραπεία </w:t>
      </w:r>
      <w:r w:rsidR="007606DC">
        <w:rPr>
          <w:rFonts w:cstheme="minorHAnsi"/>
          <w:color w:val="000000"/>
          <w:lang w:val="el-GR"/>
        </w:rPr>
        <w:t>ασθενών</w:t>
      </w:r>
      <w:r w:rsidR="006C3C51">
        <w:rPr>
          <w:rFonts w:cstheme="minorHAnsi"/>
          <w:color w:val="000000"/>
          <w:lang w:val="el-GR"/>
        </w:rPr>
        <w:t xml:space="preserve"> </w:t>
      </w:r>
      <w:r w:rsidRPr="005C53A1">
        <w:rPr>
          <w:rFonts w:cstheme="minorHAnsi"/>
          <w:color w:val="000000"/>
          <w:lang w:val="el-GR"/>
        </w:rPr>
        <w:t xml:space="preserve">με </w:t>
      </w:r>
      <w:r w:rsidR="007606DC">
        <w:rPr>
          <w:rFonts w:cstheme="minorHAnsi"/>
          <w:color w:val="000000"/>
          <w:lang w:val="el-GR"/>
        </w:rPr>
        <w:t>Υ</w:t>
      </w:r>
      <w:r w:rsidRPr="005C53A1">
        <w:rPr>
          <w:rFonts w:cstheme="minorHAnsi"/>
          <w:color w:val="000000"/>
          <w:lang w:val="el-GR"/>
        </w:rPr>
        <w:t xml:space="preserve">ποτροπιάζουσα </w:t>
      </w:r>
      <w:r w:rsidR="007606DC">
        <w:rPr>
          <w:rFonts w:cstheme="minorHAnsi"/>
          <w:color w:val="000000"/>
          <w:lang w:val="el-GR"/>
        </w:rPr>
        <w:t>Δ</w:t>
      </w:r>
      <w:r w:rsidRPr="005C53A1">
        <w:rPr>
          <w:rFonts w:cstheme="minorHAnsi"/>
          <w:color w:val="000000"/>
          <w:lang w:val="el-GR"/>
        </w:rPr>
        <w:t xml:space="preserve">ιαλείπουσα ΠΣ ή </w:t>
      </w:r>
      <w:r w:rsidR="007606DC">
        <w:rPr>
          <w:rFonts w:cstheme="minorHAnsi"/>
          <w:color w:val="000000"/>
          <w:lang w:val="el-GR"/>
        </w:rPr>
        <w:t>Δ</w:t>
      </w:r>
      <w:r w:rsidRPr="005C53A1">
        <w:rPr>
          <w:rFonts w:cstheme="minorHAnsi"/>
          <w:color w:val="000000"/>
          <w:lang w:val="el-GR"/>
        </w:rPr>
        <w:t xml:space="preserve">ευτεροπαθώς </w:t>
      </w:r>
      <w:r w:rsidR="007606DC">
        <w:rPr>
          <w:rFonts w:cstheme="minorHAnsi"/>
          <w:color w:val="000000"/>
          <w:lang w:val="el-GR"/>
        </w:rPr>
        <w:t>Π</w:t>
      </w:r>
      <w:r w:rsidRPr="005C53A1">
        <w:rPr>
          <w:rFonts w:cstheme="minorHAnsi"/>
          <w:color w:val="000000"/>
          <w:lang w:val="el-GR"/>
        </w:rPr>
        <w:t>ροϊούσα ΠΣ (</w:t>
      </w:r>
      <w:r>
        <w:rPr>
          <w:rFonts w:cstheme="minorHAnsi"/>
          <w:color w:val="000000"/>
        </w:rPr>
        <w:t>SPMS</w:t>
      </w:r>
      <w:r w:rsidRPr="005C53A1">
        <w:rPr>
          <w:rFonts w:cstheme="minorHAnsi"/>
          <w:color w:val="000000"/>
          <w:lang w:val="el-GR"/>
        </w:rPr>
        <w:t>) με ενεργή νόσο, καθώς και για άτομα που έχουν παρουσιάσει έστω ένα κλινικό συμβάν που να είναι ενδεικτικό της ΠΣ.</w:t>
      </w:r>
    </w:p>
    <w:p w:rsidR="00377421" w:rsidRPr="005C53A1" w:rsidRDefault="00377421" w:rsidP="008D45C6">
      <w:pPr>
        <w:autoSpaceDE w:val="0"/>
        <w:autoSpaceDN w:val="0"/>
        <w:adjustRightInd w:val="0"/>
        <w:jc w:val="both"/>
        <w:rPr>
          <w:rFonts w:cstheme="minorHAnsi"/>
          <w:bCs/>
          <w:color w:val="000000"/>
          <w:lang w:val="el-GR"/>
        </w:rPr>
      </w:pPr>
    </w:p>
    <w:p w:rsidR="00DD2390" w:rsidRPr="005C53A1" w:rsidRDefault="007606DC" w:rsidP="008D45C6">
      <w:pPr>
        <w:autoSpaceDE w:val="0"/>
        <w:autoSpaceDN w:val="0"/>
        <w:adjustRightInd w:val="0"/>
        <w:jc w:val="both"/>
        <w:rPr>
          <w:rFonts w:cstheme="minorHAnsi"/>
          <w:bCs/>
          <w:color w:val="000000"/>
          <w:lang w:val="el-GR"/>
        </w:rPr>
      </w:pPr>
      <w:r>
        <w:rPr>
          <w:rFonts w:cstheme="minorHAnsi"/>
          <w:color w:val="000000"/>
          <w:lang w:val="el-GR"/>
        </w:rPr>
        <w:t xml:space="preserve">Στα υπό έρευνα </w:t>
      </w:r>
      <w:r w:rsidR="00434E5C">
        <w:rPr>
          <w:rFonts w:cstheme="minorHAnsi"/>
          <w:color w:val="000000"/>
          <w:lang w:val="el-GR"/>
        </w:rPr>
        <w:t>μόρια</w:t>
      </w:r>
      <w:r w:rsidR="00F824D1">
        <w:rPr>
          <w:rFonts w:cstheme="minorHAnsi"/>
          <w:color w:val="000000"/>
          <w:lang w:val="el-GR"/>
        </w:rPr>
        <w:t xml:space="preserve"> </w:t>
      </w:r>
      <w:r w:rsidR="00F0780A" w:rsidRPr="005C53A1">
        <w:rPr>
          <w:rFonts w:cstheme="minorHAnsi"/>
          <w:color w:val="000000"/>
          <w:lang w:val="el-GR"/>
        </w:rPr>
        <w:t xml:space="preserve">περιλαμβάνονται το </w:t>
      </w:r>
      <w:r w:rsidR="00F0780A">
        <w:rPr>
          <w:rFonts w:cstheme="minorHAnsi"/>
          <w:color w:val="000000"/>
        </w:rPr>
        <w:t>BAF</w:t>
      </w:r>
      <w:r w:rsidR="00F0780A" w:rsidRPr="005C53A1">
        <w:rPr>
          <w:rFonts w:cstheme="minorHAnsi"/>
          <w:color w:val="000000"/>
          <w:lang w:val="el-GR"/>
        </w:rPr>
        <w:t xml:space="preserve">312 (σιπονιμόδη) που βρίσκεται σε φάση ανάπτυξης για την </w:t>
      </w:r>
      <w:r w:rsidR="00F0780A">
        <w:rPr>
          <w:rFonts w:cstheme="minorHAnsi"/>
          <w:color w:val="000000"/>
        </w:rPr>
        <w:t>SPMS</w:t>
      </w:r>
      <w:r w:rsidR="00F0780A" w:rsidRPr="005C53A1">
        <w:rPr>
          <w:rFonts w:cstheme="minorHAnsi"/>
          <w:color w:val="000000"/>
          <w:lang w:val="el-GR"/>
        </w:rPr>
        <w:t xml:space="preserve"> και η οφατουμουμάμπη (</w:t>
      </w:r>
      <w:r w:rsidR="00F0780A">
        <w:rPr>
          <w:rFonts w:cstheme="minorHAnsi"/>
          <w:color w:val="000000"/>
        </w:rPr>
        <w:t>OMB</w:t>
      </w:r>
      <w:r w:rsidR="00F0780A" w:rsidRPr="005C53A1">
        <w:rPr>
          <w:rFonts w:cstheme="minorHAnsi"/>
          <w:color w:val="000000"/>
          <w:lang w:val="el-GR"/>
        </w:rPr>
        <w:t xml:space="preserve">157), ένα πλήρως </w:t>
      </w:r>
      <w:r w:rsidR="00434E5C">
        <w:rPr>
          <w:rFonts w:cstheme="minorHAnsi"/>
          <w:color w:val="000000"/>
          <w:lang w:val="el-GR"/>
        </w:rPr>
        <w:t>ανθρωποποιημένο</w:t>
      </w:r>
      <w:r w:rsidR="00F0780A" w:rsidRPr="005C53A1">
        <w:rPr>
          <w:rFonts w:cstheme="minorHAnsi"/>
          <w:color w:val="000000"/>
          <w:lang w:val="el-GR"/>
        </w:rPr>
        <w:t xml:space="preserve"> μονοκλωνικό αντίσωμα σε φάση ανάπτυξης για την υποτροπιάζουσα ΠΣ. Η οφατουμουμάμπη στοχεύει στο μόριο </w:t>
      </w:r>
      <w:r w:rsidR="00F0780A">
        <w:rPr>
          <w:rFonts w:cstheme="minorHAnsi"/>
          <w:color w:val="000000"/>
        </w:rPr>
        <w:t>CD</w:t>
      </w:r>
      <w:r w:rsidR="00F0780A" w:rsidRPr="005C53A1">
        <w:rPr>
          <w:rFonts w:cstheme="minorHAnsi"/>
          <w:color w:val="000000"/>
          <w:lang w:val="el-GR"/>
        </w:rPr>
        <w:t xml:space="preserve">20 και επί του παρόντος διερευνάται σε δύο πιλοτικές μελέτες φάσης </w:t>
      </w:r>
      <w:r w:rsidR="00F0780A">
        <w:rPr>
          <w:rFonts w:cstheme="minorHAnsi"/>
          <w:color w:val="000000"/>
        </w:rPr>
        <w:t>III</w:t>
      </w:r>
      <w:r w:rsidR="00F0780A" w:rsidRPr="005C53A1">
        <w:rPr>
          <w:rFonts w:cstheme="minorHAnsi"/>
          <w:color w:val="000000"/>
          <w:lang w:val="el-GR"/>
        </w:rPr>
        <w:t>.</w:t>
      </w:r>
    </w:p>
    <w:p w:rsidR="00E8162E" w:rsidRPr="005C53A1" w:rsidRDefault="00E8162E" w:rsidP="008D45C6">
      <w:pPr>
        <w:autoSpaceDE w:val="0"/>
        <w:autoSpaceDN w:val="0"/>
        <w:adjustRightInd w:val="0"/>
        <w:jc w:val="both"/>
        <w:rPr>
          <w:rFonts w:asciiTheme="majorHAnsi" w:hAnsiTheme="majorHAnsi" w:cstheme="majorHAnsi"/>
          <w:lang w:val="el-GR"/>
        </w:rPr>
      </w:pPr>
    </w:p>
    <w:p w:rsidR="00E8162E" w:rsidRPr="005C53A1" w:rsidRDefault="00E8162E" w:rsidP="008D45C6">
      <w:pPr>
        <w:pStyle w:val="NormalWeb"/>
        <w:spacing w:before="0" w:beforeAutospacing="0" w:after="0" w:afterAutospacing="0"/>
        <w:jc w:val="both"/>
        <w:rPr>
          <w:rFonts w:asciiTheme="majorHAnsi" w:hAnsiTheme="majorHAnsi" w:cstheme="majorHAnsi"/>
          <w:sz w:val="20"/>
          <w:szCs w:val="20"/>
          <w:lang w:val="el-GR"/>
        </w:rPr>
      </w:pPr>
      <w:r w:rsidRPr="005C53A1">
        <w:rPr>
          <w:rFonts w:asciiTheme="majorHAnsi" w:hAnsiTheme="majorHAnsi" w:cstheme="majorHAnsi"/>
          <w:b/>
          <w:sz w:val="20"/>
          <w:lang w:val="el-GR"/>
        </w:rPr>
        <w:t>Δήλωση αποποίησης</w:t>
      </w:r>
    </w:p>
    <w:p w:rsidR="00774953" w:rsidRPr="005C53A1" w:rsidRDefault="00774953" w:rsidP="008D45C6">
      <w:pPr>
        <w:pStyle w:val="NormalWeb"/>
        <w:spacing w:before="0" w:beforeAutospacing="0" w:after="0" w:afterAutospacing="0"/>
        <w:jc w:val="both"/>
        <w:rPr>
          <w:rFonts w:asciiTheme="minorHAnsi" w:hAnsiTheme="minorHAnsi" w:cstheme="minorHAnsi"/>
          <w:sz w:val="20"/>
          <w:szCs w:val="20"/>
          <w:lang w:val="el-GR"/>
        </w:rPr>
      </w:pPr>
      <w:r w:rsidRPr="005C53A1">
        <w:rPr>
          <w:rFonts w:asciiTheme="minorHAnsi" w:hAnsiTheme="minorHAnsi" w:cstheme="minorHAnsi"/>
          <w:sz w:val="20"/>
          <w:lang w:val="el-GR"/>
        </w:rPr>
        <w:t>Το ανωτέρω δελτίο περιλαμβάνει μελλοντοστρεφείς δηλώσεις οι οποίες μπορούν να προσδιοριστούν με λέξεις όπως «στόχος», «μπορεί», «σε φάση ανάπτυξης», «διερευνητικός», «διερευνάται» ή παρόμοιους όρο, ή με ρητές ή υποδηλούμενες συζητήσεις αναφορικά με τις δυνητικές νέες ενδείξεις ή την επισήμανση για τ</w:t>
      </w:r>
      <w:r w:rsidR="006C3C51">
        <w:rPr>
          <w:rFonts w:asciiTheme="minorHAnsi" w:hAnsiTheme="minorHAnsi" w:cstheme="minorHAnsi"/>
          <w:sz w:val="20"/>
          <w:lang w:val="el-GR"/>
        </w:rPr>
        <w:t>η</w:t>
      </w:r>
      <w:r w:rsidRPr="005C53A1">
        <w:rPr>
          <w:rFonts w:asciiTheme="minorHAnsi" w:hAnsiTheme="minorHAnsi" w:cstheme="minorHAnsi"/>
          <w:sz w:val="20"/>
          <w:lang w:val="el-GR"/>
        </w:rPr>
        <w:t xml:space="preserve"> </w:t>
      </w:r>
      <w:r w:rsidR="006C3C51" w:rsidRPr="006C3C51">
        <w:rPr>
          <w:rFonts w:asciiTheme="minorHAnsi" w:hAnsiTheme="minorHAnsi" w:cstheme="minorHAnsi"/>
          <w:sz w:val="20"/>
          <w:lang w:val="el-GR"/>
        </w:rPr>
        <w:t xml:space="preserve">φινγκολιμόδη </w:t>
      </w:r>
      <w:r w:rsidR="006C3C51">
        <w:rPr>
          <w:rFonts w:asciiTheme="minorHAnsi" w:hAnsiTheme="minorHAnsi" w:cstheme="minorHAnsi"/>
          <w:sz w:val="20"/>
          <w:lang w:val="el-GR"/>
        </w:rPr>
        <w:t>ή την</w:t>
      </w:r>
      <w:r w:rsidR="006C3C51" w:rsidRPr="006C3C51">
        <w:rPr>
          <w:lang w:val="el-GR"/>
        </w:rPr>
        <w:t xml:space="preserve"> </w:t>
      </w:r>
      <w:r w:rsidR="006C3C51" w:rsidRPr="006C3C51">
        <w:rPr>
          <w:rFonts w:asciiTheme="minorHAnsi" w:hAnsiTheme="minorHAnsi" w:cstheme="minorHAnsi"/>
          <w:sz w:val="20"/>
          <w:lang w:val="el-GR"/>
        </w:rPr>
        <w:t>ιντερφερόνη βήτα-1b για υποδόρια ένεση</w:t>
      </w:r>
      <w:r w:rsidRPr="005C53A1">
        <w:rPr>
          <w:rFonts w:asciiTheme="minorHAnsi" w:hAnsiTheme="minorHAnsi" w:cstheme="minorHAnsi"/>
          <w:sz w:val="20"/>
          <w:lang w:val="el-GR"/>
        </w:rPr>
        <w:t xml:space="preserve">, τις δυνητικές εγκρίσεις διάθεσης στην αγορά για το </w:t>
      </w:r>
      <w:r>
        <w:rPr>
          <w:rFonts w:asciiTheme="minorHAnsi" w:hAnsiTheme="minorHAnsi" w:cstheme="minorHAnsi"/>
          <w:sz w:val="20"/>
        </w:rPr>
        <w:t>BAF</w:t>
      </w:r>
      <w:r w:rsidRPr="005C53A1">
        <w:rPr>
          <w:rFonts w:asciiTheme="minorHAnsi" w:hAnsiTheme="minorHAnsi" w:cstheme="minorHAnsi"/>
          <w:sz w:val="20"/>
          <w:lang w:val="el-GR"/>
        </w:rPr>
        <w:t xml:space="preserve">312 και το </w:t>
      </w:r>
      <w:r>
        <w:rPr>
          <w:rFonts w:asciiTheme="minorHAnsi" w:hAnsiTheme="minorHAnsi" w:cstheme="minorHAnsi"/>
          <w:sz w:val="20"/>
        </w:rPr>
        <w:t>OMB</w:t>
      </w:r>
      <w:r w:rsidRPr="005C53A1">
        <w:rPr>
          <w:rFonts w:asciiTheme="minorHAnsi" w:hAnsiTheme="minorHAnsi" w:cstheme="minorHAnsi"/>
          <w:sz w:val="20"/>
          <w:lang w:val="el-GR"/>
        </w:rPr>
        <w:t xml:space="preserve">157, ή αναφορικά με τα </w:t>
      </w:r>
      <w:r w:rsidR="006C3C51">
        <w:rPr>
          <w:rFonts w:asciiTheme="minorHAnsi" w:hAnsiTheme="minorHAnsi" w:cstheme="minorHAnsi"/>
          <w:sz w:val="20"/>
          <w:lang w:val="el-GR"/>
        </w:rPr>
        <w:t>δυνητικά μελλοντικά έσοδα από</w:t>
      </w:r>
      <w:r w:rsidRPr="005C53A1">
        <w:rPr>
          <w:rFonts w:asciiTheme="minorHAnsi" w:hAnsiTheme="minorHAnsi" w:cstheme="minorHAnsi"/>
          <w:sz w:val="20"/>
          <w:lang w:val="el-GR"/>
        </w:rPr>
        <w:t xml:space="preserve"> </w:t>
      </w:r>
      <w:r w:rsidR="006C3C51">
        <w:rPr>
          <w:rFonts w:asciiTheme="minorHAnsi" w:hAnsiTheme="minorHAnsi" w:cstheme="minorHAnsi"/>
          <w:sz w:val="20"/>
          <w:lang w:val="el-GR"/>
        </w:rPr>
        <w:t xml:space="preserve">τη φινγκολιμόδη, </w:t>
      </w:r>
      <w:r w:rsidR="006C3C51" w:rsidRPr="006C3C51">
        <w:rPr>
          <w:rFonts w:asciiTheme="minorHAnsi" w:hAnsiTheme="minorHAnsi" w:cstheme="minorHAnsi"/>
          <w:sz w:val="20"/>
          <w:lang w:val="el-GR"/>
        </w:rPr>
        <w:t>την ιντερφερόνη βήτα-1b για υποδόρια ένεση</w:t>
      </w:r>
      <w:r w:rsidR="006C3C51">
        <w:rPr>
          <w:rFonts w:asciiTheme="minorHAnsi" w:hAnsiTheme="minorHAnsi" w:cstheme="minorHAnsi"/>
          <w:sz w:val="20"/>
          <w:lang w:val="el-GR"/>
        </w:rPr>
        <w:t xml:space="preserve">, την </w:t>
      </w:r>
      <w:r w:rsidR="006C3C51" w:rsidRPr="006C3C51">
        <w:rPr>
          <w:rFonts w:asciiTheme="minorHAnsi" w:hAnsiTheme="minorHAnsi" w:cstheme="minorHAnsi"/>
          <w:sz w:val="20"/>
          <w:lang w:val="el-GR"/>
        </w:rPr>
        <w:t>ενέσιμη οξική γλατιραμέρη</w:t>
      </w:r>
      <w:r w:rsidRPr="005C53A1">
        <w:rPr>
          <w:rFonts w:asciiTheme="minorHAnsi" w:hAnsiTheme="minorHAnsi" w:cstheme="minorHAnsi"/>
          <w:sz w:val="20"/>
          <w:lang w:val="el-GR"/>
        </w:rPr>
        <w:t xml:space="preserve">, </w:t>
      </w:r>
      <w:r w:rsidR="006C3C51">
        <w:rPr>
          <w:rFonts w:asciiTheme="minorHAnsi" w:hAnsiTheme="minorHAnsi" w:cstheme="minorHAnsi"/>
          <w:sz w:val="20"/>
          <w:lang w:val="el-GR"/>
        </w:rPr>
        <w:t xml:space="preserve">το </w:t>
      </w:r>
      <w:r>
        <w:rPr>
          <w:rFonts w:asciiTheme="minorHAnsi" w:hAnsiTheme="minorHAnsi" w:cstheme="minorHAnsi"/>
          <w:sz w:val="20"/>
        </w:rPr>
        <w:t>BAF</w:t>
      </w:r>
      <w:r w:rsidRPr="005C53A1">
        <w:rPr>
          <w:rFonts w:asciiTheme="minorHAnsi" w:hAnsiTheme="minorHAnsi" w:cstheme="minorHAnsi"/>
          <w:sz w:val="20"/>
          <w:lang w:val="el-GR"/>
        </w:rPr>
        <w:t xml:space="preserve">312 και </w:t>
      </w:r>
      <w:r w:rsidR="006C3C51">
        <w:rPr>
          <w:rFonts w:asciiTheme="minorHAnsi" w:hAnsiTheme="minorHAnsi" w:cstheme="minorHAnsi"/>
          <w:sz w:val="20"/>
          <w:lang w:val="el-GR"/>
        </w:rPr>
        <w:t xml:space="preserve">το </w:t>
      </w:r>
      <w:r>
        <w:rPr>
          <w:rFonts w:asciiTheme="minorHAnsi" w:hAnsiTheme="minorHAnsi" w:cstheme="minorHAnsi"/>
          <w:sz w:val="20"/>
        </w:rPr>
        <w:t>OMB</w:t>
      </w:r>
      <w:r w:rsidRPr="005C53A1">
        <w:rPr>
          <w:rFonts w:asciiTheme="minorHAnsi" w:hAnsiTheme="minorHAnsi" w:cstheme="minorHAnsi"/>
          <w:sz w:val="20"/>
          <w:lang w:val="el-GR"/>
        </w:rPr>
        <w:t xml:space="preserve">157. Δεν θα πρέπει να βασίζεστε υπέρ το δέον στις δηλώσεις αυτές. Οι εν λόγω μελλοντοστρεφείς δηλώσεις βασίζονται στις τρέχουσες πεποιθήσεις και τις προσδοκίες της διοίκησης αναφορικά με τα μελλοντικά συμβάντα, και υπόκεινται σε σημαντικούς γνωστούς και άγνωστους κινδύνους και αβεβαιότητες. Σε περίπτωση που υλοποιηθούν ένας ή περισσότεροι από αυτούς τους κινδύνους ή τις αβεβαιότητες, ή αποδειχθούν εσφαλμένες οι βασικές υποθέσεις, τα πραγματικά αποτελέσματα ενδέχεται να διαφέρουν υλικά από αυτά που αναφέρονται στις μελλοντοστρεφείς δηλώσεις. Δεν μπορεί να υπάρξει εγγύηση ότι </w:t>
      </w:r>
      <w:r w:rsidR="006C3C51">
        <w:rPr>
          <w:rFonts w:asciiTheme="minorHAnsi" w:hAnsiTheme="minorHAnsi" w:cstheme="minorHAnsi"/>
          <w:sz w:val="20"/>
          <w:lang w:val="el-GR"/>
        </w:rPr>
        <w:t>η</w:t>
      </w:r>
      <w:r w:rsidR="006C3C51" w:rsidRPr="006C3C51">
        <w:rPr>
          <w:rFonts w:asciiTheme="minorHAnsi" w:hAnsiTheme="minorHAnsi" w:cstheme="minorHAnsi"/>
          <w:sz w:val="20"/>
          <w:lang w:val="el-GR"/>
        </w:rPr>
        <w:t xml:space="preserve"> φινγκολιμόδη ή </w:t>
      </w:r>
      <w:r w:rsidR="006C3C51">
        <w:rPr>
          <w:rFonts w:asciiTheme="minorHAnsi" w:hAnsiTheme="minorHAnsi" w:cstheme="minorHAnsi"/>
          <w:sz w:val="20"/>
          <w:lang w:val="el-GR"/>
        </w:rPr>
        <w:t>η</w:t>
      </w:r>
      <w:r w:rsidR="006C3C51" w:rsidRPr="006C3C51">
        <w:rPr>
          <w:rFonts w:asciiTheme="minorHAnsi" w:hAnsiTheme="minorHAnsi" w:cstheme="minorHAnsi"/>
          <w:sz w:val="20"/>
          <w:lang w:val="el-GR"/>
        </w:rPr>
        <w:t xml:space="preserve"> ιντερφερόνη βήτα-1b για υποδόρια ένεση</w:t>
      </w:r>
      <w:r w:rsidR="006C3C51">
        <w:rPr>
          <w:rFonts w:asciiTheme="minorHAnsi" w:hAnsiTheme="minorHAnsi" w:cstheme="minorHAnsi"/>
          <w:sz w:val="20"/>
          <w:lang w:val="el-GR"/>
        </w:rPr>
        <w:t xml:space="preserve">, </w:t>
      </w:r>
      <w:r w:rsidRPr="005C53A1">
        <w:rPr>
          <w:rFonts w:asciiTheme="minorHAnsi" w:hAnsiTheme="minorHAnsi" w:cstheme="minorHAnsi"/>
          <w:sz w:val="20"/>
          <w:lang w:val="el-GR"/>
        </w:rPr>
        <w:t xml:space="preserve">θα υποβληθούν για έγκριση ή θα λάβουν έγκριση για τυχόν πρόσθετες ενδείξεις ή επισήμανση σε οποιαδήποτε αγορά ή ανά πάσα στιγμή. Ούτε μπορεί να υπάρξει εγγύηση ότι το </w:t>
      </w:r>
      <w:r>
        <w:rPr>
          <w:rFonts w:asciiTheme="minorHAnsi" w:hAnsiTheme="minorHAnsi" w:cstheme="minorHAnsi"/>
          <w:sz w:val="20"/>
        </w:rPr>
        <w:t>BAF</w:t>
      </w:r>
      <w:r w:rsidRPr="005C53A1">
        <w:rPr>
          <w:rFonts w:asciiTheme="minorHAnsi" w:hAnsiTheme="minorHAnsi" w:cstheme="minorHAnsi"/>
          <w:sz w:val="20"/>
          <w:lang w:val="el-GR"/>
        </w:rPr>
        <w:t xml:space="preserve">312 ή το </w:t>
      </w:r>
      <w:r>
        <w:rPr>
          <w:rFonts w:asciiTheme="minorHAnsi" w:hAnsiTheme="minorHAnsi" w:cstheme="minorHAnsi"/>
          <w:sz w:val="20"/>
        </w:rPr>
        <w:t>OMB</w:t>
      </w:r>
      <w:r w:rsidRPr="005C53A1">
        <w:rPr>
          <w:rFonts w:asciiTheme="minorHAnsi" w:hAnsiTheme="minorHAnsi" w:cstheme="minorHAnsi"/>
          <w:sz w:val="20"/>
          <w:lang w:val="el-GR"/>
        </w:rPr>
        <w:t xml:space="preserve">157 θα λάβουν έγκριση για πώληση σε οποιαδήποτε αγορά ή ανά πάσα στιγμή. Επίσης, δεν μπορεί να υπάρξει εγγύηση ότι οποιοδήποτε από τα </w:t>
      </w:r>
      <w:r w:rsidR="006C3C51" w:rsidRPr="006C3C51">
        <w:rPr>
          <w:rFonts w:asciiTheme="minorHAnsi" w:hAnsiTheme="minorHAnsi" w:cstheme="minorHAnsi"/>
          <w:sz w:val="20"/>
          <w:lang w:val="el-GR"/>
        </w:rPr>
        <w:t xml:space="preserve">φινγκολιμόδη, ιντερφερόνη βήτα-1b για υποδόρια ένεση, </w:t>
      </w:r>
      <w:r w:rsidR="006C3C51">
        <w:rPr>
          <w:rFonts w:asciiTheme="minorHAnsi" w:hAnsiTheme="minorHAnsi" w:cstheme="minorHAnsi"/>
          <w:sz w:val="20"/>
          <w:lang w:val="el-GR"/>
        </w:rPr>
        <w:t>ενέσιμη οξική γλατιραμέρη,</w:t>
      </w:r>
      <w:r w:rsidRPr="005C53A1">
        <w:rPr>
          <w:rFonts w:asciiTheme="minorHAnsi" w:hAnsiTheme="minorHAnsi" w:cstheme="minorHAnsi"/>
          <w:sz w:val="20"/>
          <w:lang w:val="el-GR"/>
        </w:rPr>
        <w:t xml:space="preserve"> </w:t>
      </w:r>
      <w:r>
        <w:rPr>
          <w:rFonts w:asciiTheme="minorHAnsi" w:hAnsiTheme="minorHAnsi" w:cstheme="minorHAnsi"/>
          <w:sz w:val="20"/>
        </w:rPr>
        <w:t>BAF</w:t>
      </w:r>
      <w:r w:rsidRPr="005C53A1">
        <w:rPr>
          <w:rFonts w:asciiTheme="minorHAnsi" w:hAnsiTheme="minorHAnsi" w:cstheme="minorHAnsi"/>
          <w:sz w:val="20"/>
          <w:lang w:val="el-GR"/>
        </w:rPr>
        <w:t xml:space="preserve">312 ή </w:t>
      </w:r>
      <w:r>
        <w:rPr>
          <w:rFonts w:asciiTheme="minorHAnsi" w:hAnsiTheme="minorHAnsi" w:cstheme="minorHAnsi"/>
          <w:sz w:val="20"/>
        </w:rPr>
        <w:t>OMB</w:t>
      </w:r>
      <w:r w:rsidRPr="005C53A1">
        <w:rPr>
          <w:rFonts w:asciiTheme="minorHAnsi" w:hAnsiTheme="minorHAnsi" w:cstheme="minorHAnsi"/>
          <w:sz w:val="20"/>
          <w:lang w:val="el-GR"/>
        </w:rPr>
        <w:t xml:space="preserve">157 θα είναι εμπορικά επιτυχές στο μέλλον. Συγκεκριμένα, οι προσδοκίες της διοίκησης αναφορικά με τα εν λόγω προϊόντα και τις χημικές ενώσεις θα μπορούσε να επηρεαστεί, μεταξύ άλλων πραγμάτων, από τις εγγενείς αβεβαιότητες της έρευνας και της ανάπτυξης, όπως τα απροσδόκητα αποτελέσματα κλινικών δοκιμών και η πρόσθετη ανάλυση των υπαρχόντων κλινικών δεδομένων, οι απροσδόκητες κανονιστικές ενέργειες ή καθυστερήσεις ή οι κρατικοί κανονισμοί γενικά, η ικανότητα της εταιρείας να κατοχυρώσει ή να διατηρήσει τα ιδιόκτητα δικαιώματα πνευματικής ιδιοκτησίας της, οι γενικές συνθήκες στην οικονομία και τη βιομηχανία, οι παγκόσμιες τάσεις περικοπής του κόστους στις υπηρεσίες υγείας, συμπεριλαμβανομένων των πιέσεων επί των τιμών, τα απροσδόκητα ζητήματα ασφάλειας, ποιότητας ή κατασκευής, καθώς και κάθε άλλος κίνδυνος και παράγοντας που αναφέρεται στη φετινή ετήσια έκθεση </w:t>
      </w:r>
      <w:r>
        <w:rPr>
          <w:rFonts w:asciiTheme="minorHAnsi" w:hAnsiTheme="minorHAnsi" w:cstheme="minorHAnsi"/>
          <w:sz w:val="20"/>
        </w:rPr>
        <w:t>Form</w:t>
      </w:r>
      <w:r w:rsidRPr="005C53A1">
        <w:rPr>
          <w:rFonts w:asciiTheme="minorHAnsi" w:hAnsiTheme="minorHAnsi" w:cstheme="minorHAnsi"/>
          <w:sz w:val="20"/>
          <w:lang w:val="el-GR"/>
        </w:rPr>
        <w:t xml:space="preserve"> 20-</w:t>
      </w:r>
      <w:r>
        <w:rPr>
          <w:rFonts w:asciiTheme="minorHAnsi" w:hAnsiTheme="minorHAnsi" w:cstheme="minorHAnsi"/>
          <w:sz w:val="20"/>
        </w:rPr>
        <w:t>F</w:t>
      </w:r>
      <w:r w:rsidRPr="005C53A1">
        <w:rPr>
          <w:rFonts w:asciiTheme="minorHAnsi" w:hAnsiTheme="minorHAnsi" w:cstheme="minorHAnsi"/>
          <w:sz w:val="20"/>
          <w:lang w:val="el-GR"/>
        </w:rPr>
        <w:t xml:space="preserve"> την οποία διατηρεί για τη </w:t>
      </w:r>
      <w:r>
        <w:rPr>
          <w:rFonts w:asciiTheme="minorHAnsi" w:hAnsiTheme="minorHAnsi" w:cstheme="minorHAnsi"/>
          <w:sz w:val="20"/>
        </w:rPr>
        <w:t>Novartis</w:t>
      </w:r>
      <w:r w:rsidRPr="005C53A1">
        <w:rPr>
          <w:rFonts w:asciiTheme="minorHAnsi" w:hAnsiTheme="minorHAnsi" w:cstheme="minorHAnsi"/>
          <w:sz w:val="20"/>
          <w:lang w:val="el-GR"/>
        </w:rPr>
        <w:t xml:space="preserve"> </w:t>
      </w:r>
      <w:r>
        <w:rPr>
          <w:rFonts w:asciiTheme="minorHAnsi" w:hAnsiTheme="minorHAnsi" w:cstheme="minorHAnsi"/>
          <w:sz w:val="20"/>
        </w:rPr>
        <w:t>AG</w:t>
      </w:r>
      <w:r w:rsidRPr="005C53A1">
        <w:rPr>
          <w:rFonts w:asciiTheme="minorHAnsi" w:hAnsiTheme="minorHAnsi" w:cstheme="minorHAnsi"/>
          <w:sz w:val="20"/>
          <w:lang w:val="el-GR"/>
        </w:rPr>
        <w:t xml:space="preserve"> η Επιτροπή Κεφαλαιαγοράς των ΗΠΑ. Η </w:t>
      </w:r>
      <w:r>
        <w:rPr>
          <w:rFonts w:asciiTheme="minorHAnsi" w:hAnsiTheme="minorHAnsi" w:cstheme="minorHAnsi"/>
          <w:sz w:val="20"/>
        </w:rPr>
        <w:t>Novartis</w:t>
      </w:r>
      <w:r w:rsidRPr="005C53A1">
        <w:rPr>
          <w:rFonts w:asciiTheme="minorHAnsi" w:hAnsiTheme="minorHAnsi" w:cstheme="minorHAnsi"/>
          <w:sz w:val="20"/>
          <w:lang w:val="el-GR"/>
        </w:rPr>
        <w:t xml:space="preserve"> παρέχει τις πληροφορίες </w:t>
      </w:r>
      <w:r w:rsidRPr="005C53A1">
        <w:rPr>
          <w:rFonts w:asciiTheme="minorHAnsi" w:hAnsiTheme="minorHAnsi" w:cstheme="minorHAnsi"/>
          <w:sz w:val="20"/>
          <w:lang w:val="el-GR"/>
        </w:rPr>
        <w:lastRenderedPageBreak/>
        <w:t>στο παρόν δελτίο τύπου ως έχουν σήμερα και δεν αναλαμβάνει οποιαδήποτε υποχρέωση επικαιροποίησης οποιωνδήποτε μελλοντοστρεφών δηλώσεων που περιλαμβάνονται στο παρόν δελτίο τύπου ως αποτέλεσμα νέων πληροφοριών, μελλοντικών συμβάντων ή άλλως.</w:t>
      </w:r>
    </w:p>
    <w:p w:rsidR="00E8162E" w:rsidRPr="005C53A1" w:rsidRDefault="00E8162E" w:rsidP="008D45C6">
      <w:pPr>
        <w:pStyle w:val="NormalWeb"/>
        <w:spacing w:before="0" w:beforeAutospacing="0" w:after="0" w:afterAutospacing="0"/>
        <w:jc w:val="both"/>
        <w:rPr>
          <w:rFonts w:asciiTheme="majorHAnsi" w:hAnsiTheme="majorHAnsi" w:cstheme="majorHAnsi"/>
          <w:sz w:val="20"/>
          <w:szCs w:val="20"/>
          <w:lang w:val="el-GR"/>
        </w:rPr>
      </w:pPr>
    </w:p>
    <w:p w:rsidR="00E8162E" w:rsidRPr="005C53A1" w:rsidRDefault="00E8162E" w:rsidP="008D45C6">
      <w:pPr>
        <w:keepLines/>
        <w:jc w:val="both"/>
        <w:outlineLvl w:val="0"/>
        <w:rPr>
          <w:rFonts w:asciiTheme="majorHAnsi" w:hAnsiTheme="majorHAnsi" w:cstheme="majorHAnsi"/>
          <w:b/>
          <w:bCs/>
          <w:lang w:val="el-GR"/>
        </w:rPr>
      </w:pPr>
      <w:r w:rsidRPr="005C53A1">
        <w:rPr>
          <w:rFonts w:asciiTheme="majorHAnsi" w:hAnsiTheme="majorHAnsi" w:cstheme="majorHAnsi"/>
          <w:b/>
          <w:lang w:val="el-GR"/>
        </w:rPr>
        <w:t xml:space="preserve">Σχετικά με τη </w:t>
      </w:r>
      <w:r>
        <w:rPr>
          <w:rFonts w:asciiTheme="majorHAnsi" w:hAnsiTheme="majorHAnsi" w:cstheme="majorHAnsi"/>
          <w:b/>
        </w:rPr>
        <w:t>Novartis</w:t>
      </w:r>
    </w:p>
    <w:p w:rsidR="00E8162E" w:rsidRPr="005C53A1" w:rsidRDefault="00E8162E" w:rsidP="008D45C6">
      <w:pPr>
        <w:jc w:val="both"/>
        <w:rPr>
          <w:rFonts w:eastAsia="Calibri" w:cstheme="minorHAnsi"/>
          <w:color w:val="000000"/>
          <w:lang w:val="el-GR"/>
        </w:rPr>
      </w:pPr>
      <w:r w:rsidRPr="005C53A1">
        <w:rPr>
          <w:rFonts w:cstheme="minorHAnsi"/>
          <w:color w:val="000000"/>
          <w:lang w:val="el-GR"/>
        </w:rPr>
        <w:t xml:space="preserve">Η </w:t>
      </w:r>
      <w:r>
        <w:rPr>
          <w:rFonts w:cstheme="minorHAnsi"/>
          <w:color w:val="000000"/>
        </w:rPr>
        <w:t>Novartis</w:t>
      </w:r>
      <w:r w:rsidRPr="005C53A1">
        <w:rPr>
          <w:rFonts w:cstheme="minorHAnsi"/>
          <w:color w:val="000000"/>
          <w:lang w:val="el-GR"/>
        </w:rPr>
        <w:t xml:space="preserve"> παρέχει καινοτόμες λύσεις υγείας που ικανοποιούν τις εξελισσόμενες ανάγκες των ασθενών και των κοινωνιών. Η </w:t>
      </w:r>
      <w:r>
        <w:rPr>
          <w:rFonts w:cstheme="minorHAnsi"/>
          <w:color w:val="000000"/>
        </w:rPr>
        <w:t>Novartis</w:t>
      </w:r>
      <w:r w:rsidRPr="005C53A1">
        <w:rPr>
          <w:rFonts w:cstheme="minorHAnsi"/>
          <w:color w:val="000000"/>
          <w:lang w:val="el-GR"/>
        </w:rPr>
        <w:t xml:space="preserve"> εδρεύει στη Βασιλεία της Ελβετίας και προσφέρει ένα διαφοροποιημένο χαρτοφυλάκιο για την καλύτερη δυνατή κάλυψη των αναγκών αυτών: καινοτόμα φάρμακα, οφθαλμιατρικά προϊόντα και οικονομικά γενόσημα. Η </w:t>
      </w:r>
      <w:r>
        <w:rPr>
          <w:rFonts w:cstheme="minorHAnsi"/>
          <w:color w:val="000000"/>
        </w:rPr>
        <w:t>Novartis</w:t>
      </w:r>
      <w:r w:rsidRPr="005C53A1">
        <w:rPr>
          <w:rFonts w:cstheme="minorHAnsi"/>
          <w:color w:val="000000"/>
          <w:lang w:val="el-GR"/>
        </w:rPr>
        <w:t xml:space="preserve"> είναι η μόνη πολυεθνική εταιρεία με ηγετικές θέσεις σε αυτούς τους τομείς. Το 2015, ο Όμιλος σημείωσε καθαρές πωλήσεις ύψους 49,4 δις δολαρίων ΗΠΑ, ενώ οι δαπάνες Έρευνας και Ανάπτυξης σε ολόκληρο τον Όμιλο ανήλθαν σε περίπου 8,9 δις δολάρια ΗΠΑ (8,7 δις δολάρια ΗΠΑ εάν αφαιρέσουμε τα έξοδα απομειώσεων και αποσβέσεων). Οι εταιρείες του Ομίλου </w:t>
      </w:r>
      <w:r>
        <w:rPr>
          <w:rFonts w:cstheme="minorHAnsi"/>
          <w:color w:val="000000"/>
        </w:rPr>
        <w:t>Novartis</w:t>
      </w:r>
      <w:r w:rsidRPr="005C53A1">
        <w:rPr>
          <w:rFonts w:cstheme="minorHAnsi"/>
          <w:color w:val="000000"/>
          <w:lang w:val="el-GR"/>
        </w:rPr>
        <w:t xml:space="preserve"> απασχολούν περίπου 118.000 συνεργάτες πλήρους απασχόλησης. Τα προϊόντα της </w:t>
      </w:r>
      <w:r>
        <w:rPr>
          <w:rFonts w:cstheme="minorHAnsi"/>
          <w:color w:val="000000"/>
        </w:rPr>
        <w:t>Novartis</w:t>
      </w:r>
      <w:r w:rsidRPr="005C53A1">
        <w:rPr>
          <w:rFonts w:cstheme="minorHAnsi"/>
          <w:color w:val="000000"/>
          <w:lang w:val="el-GR"/>
        </w:rPr>
        <w:t xml:space="preserve"> είναι διαθέσιμα σε πάνω από 180 χώρες σε όλο τον κόσμο. </w:t>
      </w:r>
      <w:r w:rsidRPr="005C53A1">
        <w:rPr>
          <w:lang w:val="el-GR"/>
        </w:rPr>
        <w:t>Για περισσότερες πληροφορίες, επισκεφθείτε τη διεύθυνση</w:t>
      </w:r>
      <w:r w:rsidRPr="005C53A1">
        <w:rPr>
          <w:rFonts w:cstheme="minorHAnsi"/>
          <w:color w:val="000000"/>
          <w:lang w:val="el-GR"/>
        </w:rPr>
        <w:t xml:space="preserve"> </w:t>
      </w:r>
      <w:hyperlink r:id="rId8">
        <w:r>
          <w:rPr>
            <w:rFonts w:cstheme="minorHAnsi"/>
            <w:color w:val="000000"/>
          </w:rPr>
          <w:t>http</w:t>
        </w:r>
        <w:r w:rsidRPr="005C53A1">
          <w:rPr>
            <w:rFonts w:cstheme="minorHAnsi"/>
            <w:color w:val="000000"/>
            <w:lang w:val="el-GR"/>
          </w:rPr>
          <w:t>://</w:t>
        </w:r>
        <w:r>
          <w:rPr>
            <w:rFonts w:cstheme="minorHAnsi"/>
            <w:color w:val="000000"/>
          </w:rPr>
          <w:t>www</w:t>
        </w:r>
        <w:r w:rsidRPr="005C53A1">
          <w:rPr>
            <w:rFonts w:cstheme="minorHAnsi"/>
            <w:color w:val="000000"/>
            <w:lang w:val="el-GR"/>
          </w:rPr>
          <w:t>.</w:t>
        </w:r>
        <w:r>
          <w:rPr>
            <w:rFonts w:cstheme="minorHAnsi"/>
            <w:color w:val="000000"/>
          </w:rPr>
          <w:t>novartis</w:t>
        </w:r>
        <w:r w:rsidRPr="005C53A1">
          <w:rPr>
            <w:rFonts w:cstheme="minorHAnsi"/>
            <w:color w:val="000000"/>
            <w:lang w:val="el-GR"/>
          </w:rPr>
          <w:t>.</w:t>
        </w:r>
        <w:r>
          <w:rPr>
            <w:rFonts w:cstheme="minorHAnsi"/>
            <w:color w:val="000000"/>
          </w:rPr>
          <w:t>com</w:t>
        </w:r>
      </w:hyperlink>
      <w:r w:rsidRPr="005C53A1">
        <w:rPr>
          <w:rFonts w:cstheme="minorHAnsi"/>
          <w:color w:val="000000"/>
          <w:lang w:val="el-GR"/>
        </w:rPr>
        <w:t>.</w:t>
      </w:r>
    </w:p>
    <w:p w:rsidR="00E8162E" w:rsidRPr="005C53A1" w:rsidRDefault="00E8162E" w:rsidP="008D45C6">
      <w:pPr>
        <w:autoSpaceDE w:val="0"/>
        <w:autoSpaceDN w:val="0"/>
        <w:adjustRightInd w:val="0"/>
        <w:jc w:val="both"/>
        <w:rPr>
          <w:rFonts w:cstheme="minorHAnsi"/>
          <w:lang w:val="el-GR"/>
        </w:rPr>
      </w:pPr>
    </w:p>
    <w:p w:rsidR="0047470D" w:rsidRPr="005C53A1" w:rsidRDefault="0047470D" w:rsidP="008D45C6">
      <w:pPr>
        <w:jc w:val="both"/>
        <w:rPr>
          <w:lang w:val="el-GR"/>
        </w:rPr>
      </w:pPr>
      <w:r w:rsidRPr="005C53A1">
        <w:rPr>
          <w:lang w:val="el-GR"/>
        </w:rPr>
        <w:t xml:space="preserve">Η </w:t>
      </w:r>
      <w:r>
        <w:t>Novartis</w:t>
      </w:r>
      <w:r w:rsidRPr="005C53A1">
        <w:rPr>
          <w:lang w:val="el-GR"/>
        </w:rPr>
        <w:t xml:space="preserve"> βρίσκεται στο </w:t>
      </w:r>
      <w:r>
        <w:t>Twitter</w:t>
      </w:r>
      <w:r w:rsidRPr="005C53A1">
        <w:rPr>
          <w:lang w:val="el-GR"/>
        </w:rPr>
        <w:t>. Εγγραφείτε για να ακολουθήσετε τη @</w:t>
      </w:r>
      <w:r>
        <w:t>Novartis</w:t>
      </w:r>
      <w:r w:rsidRPr="005C53A1">
        <w:rPr>
          <w:lang w:val="el-GR"/>
        </w:rPr>
        <w:t xml:space="preserve"> στη διεύθυνση </w:t>
      </w:r>
      <w:hyperlink r:id="rId9">
        <w:r>
          <w:rPr>
            <w:color w:val="0460A9" w:themeColor="accent1"/>
          </w:rPr>
          <w:t>http</w:t>
        </w:r>
        <w:r w:rsidRPr="005C53A1">
          <w:rPr>
            <w:color w:val="0460A9" w:themeColor="accent1"/>
            <w:lang w:val="el-GR"/>
          </w:rPr>
          <w:t>://</w:t>
        </w:r>
        <w:r>
          <w:rPr>
            <w:color w:val="0460A9" w:themeColor="accent1"/>
          </w:rPr>
          <w:t>twitter</w:t>
        </w:r>
        <w:r w:rsidRPr="005C53A1">
          <w:rPr>
            <w:color w:val="0460A9" w:themeColor="accent1"/>
            <w:lang w:val="el-GR"/>
          </w:rPr>
          <w:t>.</w:t>
        </w:r>
        <w:r>
          <w:rPr>
            <w:color w:val="0460A9" w:themeColor="accent1"/>
          </w:rPr>
          <w:t>com</w:t>
        </w:r>
        <w:r w:rsidRPr="005C53A1">
          <w:rPr>
            <w:color w:val="0460A9" w:themeColor="accent1"/>
            <w:lang w:val="el-GR"/>
          </w:rPr>
          <w:t>/</w:t>
        </w:r>
        <w:r>
          <w:rPr>
            <w:color w:val="0460A9" w:themeColor="accent1"/>
          </w:rPr>
          <w:t>novartis</w:t>
        </w:r>
      </w:hyperlink>
    </w:p>
    <w:p w:rsidR="0047470D" w:rsidRPr="005C53A1" w:rsidRDefault="0047470D" w:rsidP="008D45C6">
      <w:pPr>
        <w:jc w:val="both"/>
        <w:rPr>
          <w:lang w:val="el-GR"/>
        </w:rPr>
      </w:pPr>
      <w:r w:rsidRPr="005C53A1">
        <w:rPr>
          <w:lang w:val="el-GR"/>
        </w:rPr>
        <w:t xml:space="preserve">Για περιεχόμενο πολυμέσων της </w:t>
      </w:r>
      <w:r>
        <w:t>Novartis</w:t>
      </w:r>
      <w:r w:rsidRPr="005C53A1">
        <w:rPr>
          <w:lang w:val="el-GR"/>
        </w:rPr>
        <w:t xml:space="preserve">, επισκεφθείτε τη διεύθυνση </w:t>
      </w:r>
      <w:hyperlink r:id="rId10">
        <w:r>
          <w:rPr>
            <w:color w:val="0460A9" w:themeColor="accent1"/>
          </w:rPr>
          <w:t>www</w:t>
        </w:r>
        <w:r w:rsidRPr="005C53A1">
          <w:rPr>
            <w:color w:val="0460A9" w:themeColor="accent1"/>
            <w:lang w:val="el-GR"/>
          </w:rPr>
          <w:t>.</w:t>
        </w:r>
        <w:r>
          <w:rPr>
            <w:color w:val="0460A9" w:themeColor="accent1"/>
          </w:rPr>
          <w:t>novartis</w:t>
        </w:r>
        <w:r w:rsidRPr="005C53A1">
          <w:rPr>
            <w:color w:val="0460A9" w:themeColor="accent1"/>
            <w:lang w:val="el-GR"/>
          </w:rPr>
          <w:t>.</w:t>
        </w:r>
        <w:r>
          <w:rPr>
            <w:color w:val="0460A9" w:themeColor="accent1"/>
          </w:rPr>
          <w:t>com</w:t>
        </w:r>
        <w:r w:rsidRPr="005C53A1">
          <w:rPr>
            <w:color w:val="0460A9" w:themeColor="accent1"/>
            <w:lang w:val="el-GR"/>
          </w:rPr>
          <w:t>/</w:t>
        </w:r>
        <w:r>
          <w:rPr>
            <w:color w:val="0460A9" w:themeColor="accent1"/>
          </w:rPr>
          <w:t>news</w:t>
        </w:r>
        <w:r w:rsidRPr="005C53A1">
          <w:rPr>
            <w:color w:val="0460A9" w:themeColor="accent1"/>
            <w:lang w:val="el-GR"/>
          </w:rPr>
          <w:t>/</w:t>
        </w:r>
        <w:r>
          <w:rPr>
            <w:color w:val="0460A9" w:themeColor="accent1"/>
          </w:rPr>
          <w:t>media</w:t>
        </w:r>
        <w:r w:rsidRPr="005C53A1">
          <w:rPr>
            <w:color w:val="0460A9" w:themeColor="accent1"/>
            <w:lang w:val="el-GR"/>
          </w:rPr>
          <w:t>-</w:t>
        </w:r>
        <w:r>
          <w:rPr>
            <w:color w:val="0460A9" w:themeColor="accent1"/>
          </w:rPr>
          <w:t>library</w:t>
        </w:r>
      </w:hyperlink>
    </w:p>
    <w:p w:rsidR="0047470D" w:rsidRPr="005C53A1" w:rsidRDefault="0047470D" w:rsidP="008D45C6">
      <w:pPr>
        <w:jc w:val="both"/>
        <w:rPr>
          <w:spacing w:val="-5"/>
          <w:lang w:val="el-GR"/>
        </w:rPr>
      </w:pPr>
      <w:r w:rsidRPr="005C53A1">
        <w:rPr>
          <w:lang w:val="el-GR"/>
        </w:rPr>
        <w:t xml:space="preserve">Για ερωτήσεις σχετικά με τον ιστότοπο ή την απαιτούμενη εγγραφή, επικοινωνήστε μαζί μας στο </w:t>
      </w:r>
      <w:r>
        <w:t>email</w:t>
      </w:r>
      <w:r w:rsidRPr="005C53A1">
        <w:rPr>
          <w:lang w:val="el-GR"/>
        </w:rPr>
        <w:t xml:space="preserve"> </w:t>
      </w:r>
      <w:hyperlink r:id="rId11">
        <w:r>
          <w:rPr>
            <w:color w:val="0460A9" w:themeColor="accent1"/>
            <w:spacing w:val="-5"/>
          </w:rPr>
          <w:t>media</w:t>
        </w:r>
        <w:r w:rsidRPr="005C53A1">
          <w:rPr>
            <w:color w:val="0460A9" w:themeColor="accent1"/>
            <w:spacing w:val="-5"/>
            <w:lang w:val="el-GR"/>
          </w:rPr>
          <w:t>.</w:t>
        </w:r>
        <w:r>
          <w:rPr>
            <w:color w:val="0460A9" w:themeColor="accent1"/>
            <w:spacing w:val="-5"/>
          </w:rPr>
          <w:t>relations</w:t>
        </w:r>
        <w:r w:rsidRPr="005C53A1">
          <w:rPr>
            <w:color w:val="0460A9" w:themeColor="accent1"/>
            <w:spacing w:val="-5"/>
            <w:lang w:val="el-GR"/>
          </w:rPr>
          <w:t>@</w:t>
        </w:r>
        <w:r>
          <w:rPr>
            <w:color w:val="0460A9" w:themeColor="accent1"/>
            <w:spacing w:val="-5"/>
          </w:rPr>
          <w:t>novartis</w:t>
        </w:r>
        <w:r w:rsidRPr="005C53A1">
          <w:rPr>
            <w:color w:val="0460A9" w:themeColor="accent1"/>
            <w:spacing w:val="-5"/>
            <w:lang w:val="el-GR"/>
          </w:rPr>
          <w:t>.</w:t>
        </w:r>
        <w:r>
          <w:rPr>
            <w:color w:val="0460A9" w:themeColor="accent1"/>
            <w:spacing w:val="-5"/>
          </w:rPr>
          <w:t>com</w:t>
        </w:r>
      </w:hyperlink>
    </w:p>
    <w:p w:rsidR="00784691" w:rsidRPr="005C53A1" w:rsidRDefault="00784691" w:rsidP="008D45C6">
      <w:pPr>
        <w:jc w:val="both"/>
        <w:rPr>
          <w:lang w:val="el-GR"/>
        </w:rPr>
      </w:pPr>
      <w:bookmarkStart w:id="0" w:name="_GoBack"/>
      <w:bookmarkEnd w:id="0"/>
    </w:p>
    <w:p w:rsidR="00E8162E" w:rsidRPr="00E8162E" w:rsidRDefault="00E8162E" w:rsidP="008D45C6">
      <w:pPr>
        <w:jc w:val="both"/>
        <w:rPr>
          <w:rFonts w:asciiTheme="majorHAnsi" w:hAnsiTheme="majorHAnsi" w:cstheme="majorHAnsi"/>
          <w:b/>
          <w:color w:val="000000"/>
        </w:rPr>
      </w:pPr>
      <w:r>
        <w:rPr>
          <w:rFonts w:asciiTheme="majorHAnsi" w:hAnsiTheme="majorHAnsi" w:cstheme="majorHAnsi"/>
          <w:b/>
          <w:color w:val="000000"/>
        </w:rPr>
        <w:t>Παραπομπές</w:t>
      </w:r>
    </w:p>
    <w:p w:rsidR="00384123" w:rsidRPr="003B5FF5" w:rsidRDefault="003B5FF5" w:rsidP="008D45C6">
      <w:pPr>
        <w:pStyle w:val="ListParagraph"/>
        <w:numPr>
          <w:ilvl w:val="0"/>
          <w:numId w:val="5"/>
        </w:numPr>
        <w:jc w:val="both"/>
        <w:rPr>
          <w:rFonts w:cstheme="minorHAnsi"/>
          <w:snapToGrid w:val="0"/>
          <w:sz w:val="16"/>
        </w:rPr>
      </w:pPr>
      <w:r w:rsidRPr="00464951">
        <w:rPr>
          <w:rFonts w:cstheme="minorHAnsi"/>
          <w:snapToGrid w:val="0"/>
          <w:sz w:val="16"/>
        </w:rPr>
        <w:t>Derfuss T et al. The ACROSS Study: Long-term efficacy of fingolimod in patients with RRMS (follow-up at 10 years). Poster presented at: 32</w:t>
      </w:r>
      <w:r w:rsidRPr="00464951">
        <w:rPr>
          <w:rFonts w:cstheme="minorHAnsi"/>
          <w:snapToGrid w:val="0"/>
          <w:sz w:val="16"/>
          <w:vertAlign w:val="superscript"/>
        </w:rPr>
        <w:t>nd</w:t>
      </w:r>
      <w:r w:rsidRPr="00464951">
        <w:rPr>
          <w:rFonts w:cstheme="minorHAnsi"/>
          <w:snapToGrid w:val="0"/>
          <w:sz w:val="16"/>
        </w:rPr>
        <w:t xml:space="preserve"> Congress of the European Committee for Treatment and Research in Multiple Sclerosis; September 14-17, </w:t>
      </w:r>
      <w:r w:rsidRPr="00DF7385">
        <w:rPr>
          <w:rFonts w:cstheme="minorHAnsi"/>
          <w:snapToGrid w:val="0"/>
          <w:sz w:val="16"/>
        </w:rPr>
        <w:t>2016; London, UK. Poster 1215.</w:t>
      </w:r>
    </w:p>
    <w:p w:rsidR="00E2315C" w:rsidRDefault="00E2315C" w:rsidP="008D45C6">
      <w:pPr>
        <w:pStyle w:val="ListParagraph"/>
        <w:numPr>
          <w:ilvl w:val="0"/>
          <w:numId w:val="5"/>
        </w:numPr>
        <w:jc w:val="both"/>
        <w:rPr>
          <w:rFonts w:cstheme="minorHAnsi"/>
          <w:snapToGrid w:val="0"/>
          <w:sz w:val="16"/>
        </w:rPr>
      </w:pPr>
      <w:r w:rsidRPr="00464951">
        <w:rPr>
          <w:rFonts w:cstheme="minorHAnsi"/>
          <w:snapToGrid w:val="0"/>
          <w:sz w:val="16"/>
        </w:rPr>
        <w:t xml:space="preserve">National MS Society. MS Symptoms. </w:t>
      </w:r>
      <w:hyperlink r:id="rId12">
        <w:r w:rsidRPr="00464951">
          <w:rPr>
            <w:rStyle w:val="Hyperlink"/>
            <w:rFonts w:cstheme="minorHAnsi"/>
            <w:snapToGrid w:val="0"/>
            <w:sz w:val="16"/>
          </w:rPr>
          <w:t>http://www.nationalmssociety.org/Symptoms-Diagnosis/MS-Symptoms</w:t>
        </w:r>
      </w:hyperlink>
      <w:r w:rsidRPr="00464951">
        <w:rPr>
          <w:rStyle w:val="Hyperlink"/>
          <w:rFonts w:cstheme="minorHAnsi"/>
          <w:snapToGrid w:val="0"/>
          <w:sz w:val="16"/>
        </w:rPr>
        <w:t xml:space="preserve"> (link is external)</w:t>
      </w:r>
      <w:r w:rsidRPr="00464951">
        <w:rPr>
          <w:rFonts w:cstheme="minorHAnsi"/>
          <w:snapToGrid w:val="0"/>
          <w:sz w:val="16"/>
        </w:rPr>
        <w:t xml:space="preserve">. </w:t>
      </w:r>
      <w:r>
        <w:rPr>
          <w:rFonts w:cstheme="minorHAnsi"/>
          <w:snapToGrid w:val="0"/>
          <w:sz w:val="16"/>
        </w:rPr>
        <w:t>Accessed August 2016.</w:t>
      </w:r>
    </w:p>
    <w:p w:rsidR="00293710" w:rsidRDefault="00293710" w:rsidP="008D45C6">
      <w:pPr>
        <w:pStyle w:val="ListParagraph"/>
        <w:numPr>
          <w:ilvl w:val="0"/>
          <w:numId w:val="5"/>
        </w:numPr>
        <w:jc w:val="both"/>
        <w:rPr>
          <w:rFonts w:cstheme="minorHAnsi"/>
          <w:snapToGrid w:val="0"/>
          <w:sz w:val="16"/>
        </w:rPr>
      </w:pPr>
      <w:r w:rsidRPr="00464951">
        <w:rPr>
          <w:rFonts w:cstheme="minorHAnsi"/>
          <w:snapToGrid w:val="0"/>
          <w:sz w:val="16"/>
        </w:rPr>
        <w:t xml:space="preserve">MS Society. Early treatment. </w:t>
      </w:r>
      <w:hyperlink r:id="rId13">
        <w:r w:rsidRPr="00464951">
          <w:rPr>
            <w:rStyle w:val="Hyperlink"/>
            <w:rFonts w:cstheme="minorHAnsi"/>
            <w:snapToGrid w:val="0"/>
            <w:sz w:val="16"/>
          </w:rPr>
          <w:t>https://www.mssociety.org.uk/earlytreatment</w:t>
        </w:r>
      </w:hyperlink>
      <w:r w:rsidRPr="00464951">
        <w:rPr>
          <w:rFonts w:cstheme="minorHAnsi"/>
          <w:snapToGrid w:val="0"/>
          <w:sz w:val="16"/>
        </w:rPr>
        <w:t xml:space="preserve"> (link is external). </w:t>
      </w:r>
      <w:r>
        <w:rPr>
          <w:rFonts w:cstheme="minorHAnsi"/>
          <w:snapToGrid w:val="0"/>
          <w:sz w:val="16"/>
        </w:rPr>
        <w:t>Accessed August 2016.</w:t>
      </w:r>
    </w:p>
    <w:p w:rsidR="00293710" w:rsidRDefault="00293710" w:rsidP="008D45C6">
      <w:pPr>
        <w:pStyle w:val="ListParagraph"/>
        <w:numPr>
          <w:ilvl w:val="0"/>
          <w:numId w:val="5"/>
        </w:numPr>
        <w:jc w:val="both"/>
        <w:rPr>
          <w:rFonts w:cstheme="minorHAnsi"/>
          <w:snapToGrid w:val="0"/>
          <w:sz w:val="16"/>
        </w:rPr>
      </w:pPr>
      <w:r w:rsidRPr="00464951">
        <w:rPr>
          <w:rFonts w:cstheme="minorHAnsi"/>
          <w:snapToGrid w:val="0"/>
          <w:sz w:val="16"/>
        </w:rPr>
        <w:t xml:space="preserve">National Multiple Sclerosis Society. Frequently asked questions about SPMS. </w:t>
      </w:r>
      <w:hyperlink r:id="rId14">
        <w:r w:rsidRPr="00464951">
          <w:rPr>
            <w:rStyle w:val="Hyperlink"/>
            <w:rFonts w:cstheme="minorHAnsi"/>
            <w:snapToGrid w:val="0"/>
            <w:sz w:val="16"/>
          </w:rPr>
          <w:t>http://www.nationalmssociety.org/What-is-MS/Types-of-MS/Secondary-progressive-MS/Frequently-Asked-Questions-about-SPMS</w:t>
        </w:r>
      </w:hyperlink>
      <w:r w:rsidRPr="00464951">
        <w:rPr>
          <w:rStyle w:val="Hyperlink"/>
          <w:rFonts w:cstheme="minorHAnsi"/>
          <w:snapToGrid w:val="0"/>
          <w:sz w:val="16"/>
        </w:rPr>
        <w:t xml:space="preserve"> (link is external)</w:t>
      </w:r>
      <w:r w:rsidRPr="00464951">
        <w:rPr>
          <w:rFonts w:cstheme="minorHAnsi"/>
          <w:snapToGrid w:val="0"/>
          <w:sz w:val="16"/>
        </w:rPr>
        <w:t xml:space="preserve">. </w:t>
      </w:r>
      <w:r>
        <w:rPr>
          <w:rFonts w:cstheme="minorHAnsi"/>
          <w:snapToGrid w:val="0"/>
          <w:sz w:val="16"/>
        </w:rPr>
        <w:t>Accessed August 2016.</w:t>
      </w:r>
    </w:p>
    <w:p w:rsidR="00293710" w:rsidRDefault="00DB151F" w:rsidP="008D45C6">
      <w:pPr>
        <w:pStyle w:val="ListParagraph"/>
        <w:numPr>
          <w:ilvl w:val="0"/>
          <w:numId w:val="5"/>
        </w:numPr>
        <w:jc w:val="both"/>
        <w:rPr>
          <w:rFonts w:cstheme="minorHAnsi"/>
          <w:snapToGrid w:val="0"/>
          <w:sz w:val="16"/>
        </w:rPr>
      </w:pPr>
      <w:r>
        <w:rPr>
          <w:rFonts w:cstheme="minorHAnsi"/>
          <w:snapToGrid w:val="0"/>
          <w:sz w:val="16"/>
        </w:rPr>
        <w:t>Cohen JA et al. Fingolimod versus intramuscular interferon in patient subgroups from TRANSFORMS. J Neurol. 2013; 260(8):2023-2032.</w:t>
      </w:r>
    </w:p>
    <w:p w:rsidR="005F5018" w:rsidRDefault="005F5018" w:rsidP="008D45C6">
      <w:pPr>
        <w:pStyle w:val="ListParagraph"/>
        <w:numPr>
          <w:ilvl w:val="0"/>
          <w:numId w:val="5"/>
        </w:numPr>
        <w:jc w:val="both"/>
        <w:rPr>
          <w:rFonts w:cstheme="minorHAnsi"/>
          <w:snapToGrid w:val="0"/>
          <w:sz w:val="16"/>
        </w:rPr>
      </w:pPr>
      <w:r w:rsidRPr="00464951">
        <w:rPr>
          <w:rFonts w:cstheme="minorHAnsi"/>
          <w:snapToGrid w:val="0"/>
          <w:sz w:val="16"/>
        </w:rPr>
        <w:t xml:space="preserve">Kappos L et al. Phase 3 FREEDOMS study extension: fingolimod (FTY720) efficacy in patients with relapsing-remitting multiple sclerosis receiving continuous or placebo-fingolimod switched therapy for up to 4 years. Poster presented at: 28th Congress of the European Committee for Treatment and Research in Multiple Sclerosis; October 10-13, 2012; Lyon, France. </w:t>
      </w:r>
      <w:r>
        <w:rPr>
          <w:rFonts w:cstheme="minorHAnsi"/>
          <w:snapToGrid w:val="0"/>
          <w:sz w:val="16"/>
        </w:rPr>
        <w:t>Poster P979.</w:t>
      </w:r>
    </w:p>
    <w:p w:rsidR="00E2315C" w:rsidRPr="009531FA" w:rsidRDefault="00E2315C" w:rsidP="008D45C6">
      <w:pPr>
        <w:pStyle w:val="ListParagraph"/>
        <w:numPr>
          <w:ilvl w:val="0"/>
          <w:numId w:val="5"/>
        </w:numPr>
        <w:jc w:val="both"/>
        <w:rPr>
          <w:rFonts w:cstheme="minorHAnsi"/>
          <w:snapToGrid w:val="0"/>
          <w:sz w:val="16"/>
        </w:rPr>
      </w:pPr>
      <w:r w:rsidRPr="00464951">
        <w:rPr>
          <w:rFonts w:cstheme="minorHAnsi"/>
          <w:snapToGrid w:val="0"/>
          <w:sz w:val="16"/>
        </w:rPr>
        <w:t xml:space="preserve">Montalban et al. Long-term efficacy of fingolimod in patients with relapsing-remitting multiple sclerosis previously treated with interferon beta-1a or disease-modifying therapies: A Post-hoc analysis of the TRANSFORMS 4.5 year extension study. </w:t>
      </w:r>
      <w:r w:rsidRPr="009531FA">
        <w:rPr>
          <w:rFonts w:cstheme="minorHAnsi"/>
          <w:snapToGrid w:val="0"/>
          <w:sz w:val="16"/>
        </w:rPr>
        <w:t>European Neurological Society, June 10, 2013 P539.</w:t>
      </w:r>
    </w:p>
    <w:p w:rsidR="00E2315C" w:rsidRPr="009531FA" w:rsidRDefault="00DB151F" w:rsidP="008D45C6">
      <w:pPr>
        <w:pStyle w:val="ListParagraph"/>
        <w:numPr>
          <w:ilvl w:val="0"/>
          <w:numId w:val="5"/>
        </w:numPr>
        <w:jc w:val="both"/>
        <w:rPr>
          <w:rFonts w:cstheme="minorHAnsi"/>
          <w:snapToGrid w:val="0"/>
          <w:sz w:val="16"/>
        </w:rPr>
      </w:pPr>
      <w:r w:rsidRPr="00464951">
        <w:rPr>
          <w:rFonts w:cstheme="minorHAnsi"/>
          <w:snapToGrid w:val="0"/>
          <w:sz w:val="16"/>
        </w:rPr>
        <w:t xml:space="preserve">Cohen JA et al. Long-term (up to 4.5 years) treatment with fingolimod in multiple sclerosis: results from the extension of the randomized TRANSFORMS study. </w:t>
      </w:r>
      <w:r w:rsidRPr="009531FA">
        <w:rPr>
          <w:rFonts w:cstheme="minorHAnsi"/>
          <w:snapToGrid w:val="0"/>
          <w:sz w:val="16"/>
        </w:rPr>
        <w:t>J Neurol Neurosurg Psychiatry. 2015; 0:1-8.</w:t>
      </w:r>
    </w:p>
    <w:p w:rsidR="00293710" w:rsidRPr="00E2315C" w:rsidRDefault="00E2315C" w:rsidP="008D45C6">
      <w:pPr>
        <w:pStyle w:val="ListParagraph"/>
        <w:numPr>
          <w:ilvl w:val="0"/>
          <w:numId w:val="5"/>
        </w:numPr>
        <w:jc w:val="both"/>
        <w:rPr>
          <w:rFonts w:cstheme="minorHAnsi"/>
          <w:snapToGrid w:val="0"/>
          <w:sz w:val="16"/>
        </w:rPr>
      </w:pPr>
      <w:r w:rsidRPr="00464951">
        <w:rPr>
          <w:rFonts w:cstheme="minorHAnsi"/>
          <w:snapToGrid w:val="0"/>
          <w:sz w:val="16"/>
          <w:lang w:val="fr-CA"/>
        </w:rPr>
        <w:t xml:space="preserve">De Stefano N et al. </w:t>
      </w:r>
      <w:r w:rsidRPr="00464951">
        <w:rPr>
          <w:rFonts w:cstheme="minorHAnsi"/>
          <w:snapToGrid w:val="0"/>
          <w:sz w:val="16"/>
        </w:rPr>
        <w:t xml:space="preserve">Proportion of patients with BVL comparable to healthy adults in fingolimod phase 3 MS studies. Abstract presented at: 66th AAN Annual Meeting; April 26 - May 3, 2014; Philadelphia, Pennsylvania. </w:t>
      </w:r>
      <w:r>
        <w:rPr>
          <w:rFonts w:cstheme="minorHAnsi"/>
          <w:snapToGrid w:val="0"/>
          <w:sz w:val="16"/>
        </w:rPr>
        <w:t>Oral session S13:006.</w:t>
      </w:r>
    </w:p>
    <w:p w:rsidR="00E2315C" w:rsidRPr="009531FA" w:rsidRDefault="00DB151F" w:rsidP="008D45C6">
      <w:pPr>
        <w:pStyle w:val="ListParagraph"/>
        <w:numPr>
          <w:ilvl w:val="0"/>
          <w:numId w:val="5"/>
        </w:numPr>
        <w:jc w:val="both"/>
        <w:rPr>
          <w:rFonts w:cstheme="minorHAnsi"/>
          <w:snapToGrid w:val="0"/>
          <w:sz w:val="16"/>
        </w:rPr>
      </w:pPr>
      <w:r w:rsidRPr="00464951">
        <w:rPr>
          <w:rFonts w:cstheme="minorHAnsi"/>
          <w:snapToGrid w:val="0"/>
          <w:sz w:val="16"/>
        </w:rPr>
        <w:t xml:space="preserve">Lapierre Y et al. Canadian experience with fingolimod: adherence to treatment and monitoring. </w:t>
      </w:r>
      <w:r w:rsidRPr="009531FA">
        <w:rPr>
          <w:rFonts w:cstheme="minorHAnsi"/>
          <w:snapToGrid w:val="0"/>
          <w:sz w:val="16"/>
        </w:rPr>
        <w:t>Can J Neurol Sci. 2016; 43:278-283</w:t>
      </w:r>
    </w:p>
    <w:p w:rsidR="00046E4C" w:rsidRDefault="00046E4C" w:rsidP="008D45C6">
      <w:pPr>
        <w:pStyle w:val="ListParagraph"/>
        <w:numPr>
          <w:ilvl w:val="0"/>
          <w:numId w:val="5"/>
        </w:numPr>
        <w:jc w:val="both"/>
        <w:rPr>
          <w:rFonts w:cstheme="minorHAnsi"/>
          <w:snapToGrid w:val="0"/>
          <w:sz w:val="16"/>
        </w:rPr>
      </w:pPr>
      <w:r w:rsidRPr="00464951">
        <w:rPr>
          <w:rFonts w:cstheme="minorHAnsi"/>
          <w:snapToGrid w:val="0"/>
          <w:sz w:val="16"/>
        </w:rPr>
        <w:t xml:space="preserve">Fox E et al, on behalf of EPOC study investigators, Outcomes of switching directly to oral fingolimod from injectable therapies: Results of the randomized, open-label, multicenter, Evaluate Patient Out Comes (EPOC) study in relapsing multiple sclerosis. </w:t>
      </w:r>
      <w:r>
        <w:rPr>
          <w:rFonts w:cstheme="minorHAnsi"/>
          <w:snapToGrid w:val="0"/>
          <w:sz w:val="16"/>
        </w:rPr>
        <w:t>Mult Scler Relat Disord. 2014; 3(5): 607-619.</w:t>
      </w:r>
    </w:p>
    <w:p w:rsidR="005F5018" w:rsidRPr="009531FA" w:rsidRDefault="00DB151F" w:rsidP="008D45C6">
      <w:pPr>
        <w:pStyle w:val="ListParagraph"/>
        <w:numPr>
          <w:ilvl w:val="0"/>
          <w:numId w:val="5"/>
        </w:numPr>
        <w:jc w:val="both"/>
        <w:rPr>
          <w:rFonts w:cstheme="minorHAnsi"/>
          <w:snapToGrid w:val="0"/>
          <w:sz w:val="16"/>
        </w:rPr>
      </w:pPr>
      <w:r w:rsidRPr="00464951">
        <w:rPr>
          <w:rFonts w:cstheme="minorHAnsi"/>
          <w:snapToGrid w:val="0"/>
          <w:sz w:val="16"/>
        </w:rPr>
        <w:lastRenderedPageBreak/>
        <w:t xml:space="preserve">Cohen JA et al. Oral fingolimod or intramuscular interferon for relapsing multiple sclerosis. </w:t>
      </w:r>
      <w:r w:rsidRPr="009531FA">
        <w:rPr>
          <w:rFonts w:cstheme="minorHAnsi"/>
          <w:snapToGrid w:val="0"/>
          <w:sz w:val="16"/>
        </w:rPr>
        <w:t>N Engl J Med. 2010: 362:402-15.</w:t>
      </w:r>
    </w:p>
    <w:p w:rsidR="005F5018" w:rsidRPr="009531FA" w:rsidRDefault="00DB151F" w:rsidP="008D45C6">
      <w:pPr>
        <w:pStyle w:val="ListParagraph"/>
        <w:numPr>
          <w:ilvl w:val="0"/>
          <w:numId w:val="5"/>
        </w:numPr>
        <w:jc w:val="both"/>
        <w:rPr>
          <w:rFonts w:cstheme="minorHAnsi"/>
          <w:snapToGrid w:val="0"/>
          <w:sz w:val="16"/>
        </w:rPr>
      </w:pPr>
      <w:r w:rsidRPr="00464951">
        <w:rPr>
          <w:rFonts w:cstheme="minorHAnsi"/>
          <w:snapToGrid w:val="0"/>
          <w:sz w:val="16"/>
        </w:rPr>
        <w:t xml:space="preserve">Khatri B et al. Comparison of fingolimod with interferon beta-1-a in relapsing-remitting multiple sclerosis: a randomized extension of the TRANSFORMS study. </w:t>
      </w:r>
      <w:r w:rsidRPr="009531FA">
        <w:rPr>
          <w:rFonts w:cstheme="minorHAnsi"/>
          <w:snapToGrid w:val="0"/>
          <w:sz w:val="16"/>
        </w:rPr>
        <w:t>The Lancet Neurology. 2011; 10(6);520-529</w:t>
      </w:r>
    </w:p>
    <w:p w:rsidR="0086496F" w:rsidRPr="009531FA" w:rsidRDefault="0086496F" w:rsidP="008D45C6">
      <w:pPr>
        <w:pStyle w:val="ListParagraph"/>
        <w:numPr>
          <w:ilvl w:val="0"/>
          <w:numId w:val="5"/>
        </w:numPr>
        <w:jc w:val="both"/>
        <w:rPr>
          <w:rFonts w:cstheme="minorHAnsi"/>
          <w:snapToGrid w:val="0"/>
          <w:sz w:val="16"/>
        </w:rPr>
      </w:pPr>
      <w:r w:rsidRPr="00464951">
        <w:rPr>
          <w:rFonts w:cstheme="minorHAnsi"/>
          <w:snapToGrid w:val="0"/>
          <w:sz w:val="16"/>
        </w:rPr>
        <w:t xml:space="preserve">Cascione M. et al. Randomized, open-label study to evaluate patient-reported outcomes with fingolimod after changing from prior disease-modifying therapy for relapsing multiple sclerosis: EPOC study rationale and design. </w:t>
      </w:r>
      <w:r w:rsidRPr="009531FA">
        <w:rPr>
          <w:rFonts w:cstheme="minorHAnsi"/>
          <w:snapToGrid w:val="0"/>
          <w:sz w:val="16"/>
        </w:rPr>
        <w:t>Journal of Medical Economics. 2013; 16(7);859-865.</w:t>
      </w:r>
    </w:p>
    <w:p w:rsidR="005F5018" w:rsidRPr="009531FA" w:rsidRDefault="005F5018" w:rsidP="008D45C6">
      <w:pPr>
        <w:pStyle w:val="ListParagraph"/>
        <w:numPr>
          <w:ilvl w:val="0"/>
          <w:numId w:val="5"/>
        </w:numPr>
        <w:jc w:val="both"/>
        <w:rPr>
          <w:rFonts w:cstheme="minorHAnsi"/>
          <w:snapToGrid w:val="0"/>
          <w:sz w:val="16"/>
        </w:rPr>
      </w:pPr>
      <w:r w:rsidRPr="00464951">
        <w:rPr>
          <w:rFonts w:cstheme="minorHAnsi"/>
          <w:snapToGrid w:val="0"/>
          <w:sz w:val="16"/>
        </w:rPr>
        <w:t xml:space="preserve">He A. et al. Comparison of switch to fingolimod or interferon beta/ glatiramer acetate in active multiple sclerosis. </w:t>
      </w:r>
      <w:r w:rsidRPr="009531FA">
        <w:rPr>
          <w:rFonts w:cstheme="minorHAnsi"/>
          <w:snapToGrid w:val="0"/>
          <w:sz w:val="16"/>
        </w:rPr>
        <w:t>JAMA Neurol. 2015; 72(4):405-413.</w:t>
      </w:r>
    </w:p>
    <w:p w:rsidR="00DB151F" w:rsidRPr="00DB151F" w:rsidRDefault="00DB151F" w:rsidP="008D45C6">
      <w:pPr>
        <w:pStyle w:val="ListParagraph"/>
        <w:numPr>
          <w:ilvl w:val="0"/>
          <w:numId w:val="5"/>
        </w:numPr>
        <w:jc w:val="both"/>
        <w:rPr>
          <w:rFonts w:cstheme="minorHAnsi"/>
          <w:snapToGrid w:val="0"/>
          <w:sz w:val="16"/>
        </w:rPr>
      </w:pPr>
      <w:r>
        <w:rPr>
          <w:rFonts w:cstheme="minorHAnsi"/>
          <w:snapToGrid w:val="0"/>
          <w:sz w:val="16"/>
        </w:rPr>
        <w:t>Data on file. Novartis Pharmaceuticals.</w:t>
      </w:r>
    </w:p>
    <w:p w:rsidR="00DB151F" w:rsidRDefault="00DB151F" w:rsidP="008D45C6">
      <w:pPr>
        <w:pStyle w:val="ListParagraph"/>
        <w:numPr>
          <w:ilvl w:val="0"/>
          <w:numId w:val="5"/>
        </w:numPr>
        <w:jc w:val="both"/>
        <w:rPr>
          <w:rFonts w:cstheme="minorHAnsi"/>
          <w:snapToGrid w:val="0"/>
          <w:sz w:val="16"/>
        </w:rPr>
      </w:pPr>
      <w:r w:rsidRPr="00464951">
        <w:rPr>
          <w:rFonts w:cstheme="minorHAnsi"/>
          <w:snapToGrid w:val="0"/>
          <w:sz w:val="16"/>
        </w:rPr>
        <w:t xml:space="preserve">PubMed Heath. Multiple Sclerosis (MS). </w:t>
      </w:r>
      <w:hyperlink r:id="rId15">
        <w:r w:rsidRPr="00464951">
          <w:rPr>
            <w:rStyle w:val="Hyperlink"/>
            <w:rFonts w:cstheme="minorHAnsi"/>
            <w:snapToGrid w:val="0"/>
            <w:sz w:val="16"/>
          </w:rPr>
          <w:t>http://www.ncbi.nlm.nih.gov/pubmedhealth/PMH0001747/</w:t>
        </w:r>
      </w:hyperlink>
      <w:r w:rsidRPr="00464951">
        <w:rPr>
          <w:rFonts w:cstheme="minorHAnsi"/>
          <w:snapToGrid w:val="0"/>
          <w:sz w:val="16"/>
        </w:rPr>
        <w:t xml:space="preserve"> (link is external). </w:t>
      </w:r>
      <w:r>
        <w:rPr>
          <w:rFonts w:cstheme="minorHAnsi"/>
          <w:snapToGrid w:val="0"/>
          <w:sz w:val="16"/>
        </w:rPr>
        <w:t>Accessed August 2016.</w:t>
      </w:r>
    </w:p>
    <w:p w:rsidR="00DB151F" w:rsidRPr="00464951" w:rsidRDefault="00DB151F" w:rsidP="008D45C6">
      <w:pPr>
        <w:pStyle w:val="ListParagraph"/>
        <w:numPr>
          <w:ilvl w:val="0"/>
          <w:numId w:val="5"/>
        </w:numPr>
        <w:jc w:val="both"/>
        <w:rPr>
          <w:rFonts w:cstheme="minorHAnsi"/>
          <w:snapToGrid w:val="0"/>
          <w:sz w:val="16"/>
        </w:rPr>
      </w:pPr>
      <w:r w:rsidRPr="00464951">
        <w:rPr>
          <w:sz w:val="16"/>
        </w:rPr>
        <w:t xml:space="preserve">European Medicines Agency. EMA guidelines for the investigation of MS. </w:t>
      </w:r>
      <w:hyperlink r:id="rId16">
        <w:r w:rsidRPr="00464951">
          <w:rPr>
            <w:rStyle w:val="Hyperlink"/>
            <w:rFonts w:cstheme="minorHAnsi"/>
            <w:snapToGrid w:val="0"/>
            <w:sz w:val="16"/>
          </w:rPr>
          <w:t>http://www.ema.europa.eu/docs/en_GB/document_library/Scientific_guideline/2012/10/WC500133438.pdf (link is external). Accessed April 2016</w:t>
        </w:r>
      </w:hyperlink>
      <w:r w:rsidRPr="00464951">
        <w:rPr>
          <w:rFonts w:cstheme="minorHAnsi"/>
          <w:snapToGrid w:val="0"/>
          <w:sz w:val="16"/>
        </w:rPr>
        <w:t>.</w:t>
      </w:r>
    </w:p>
    <w:p w:rsidR="00DB151F" w:rsidRPr="00E2315C" w:rsidRDefault="00DB151F" w:rsidP="008D45C6">
      <w:pPr>
        <w:pStyle w:val="ListParagraph"/>
        <w:numPr>
          <w:ilvl w:val="0"/>
          <w:numId w:val="5"/>
        </w:numPr>
        <w:jc w:val="both"/>
        <w:rPr>
          <w:rFonts w:cstheme="minorHAnsi"/>
          <w:snapToGrid w:val="0"/>
          <w:sz w:val="16"/>
        </w:rPr>
      </w:pPr>
      <w:r w:rsidRPr="00464951">
        <w:rPr>
          <w:rFonts w:cstheme="minorHAnsi"/>
          <w:snapToGrid w:val="0"/>
          <w:sz w:val="16"/>
        </w:rPr>
        <w:t xml:space="preserve">Multiple sclerosis international federation. Atlas of MS 2013. </w:t>
      </w:r>
      <w:hyperlink r:id="rId17">
        <w:r w:rsidRPr="00464951">
          <w:rPr>
            <w:rStyle w:val="Hyperlink"/>
            <w:rFonts w:cstheme="minorHAnsi"/>
            <w:snapToGrid w:val="0"/>
            <w:sz w:val="16"/>
          </w:rPr>
          <w:t>https://www.msif.org/wp-content/uploads/2014/09/Atlas-of-MS.pdf</w:t>
        </w:r>
      </w:hyperlink>
      <w:r w:rsidRPr="00464951">
        <w:rPr>
          <w:rFonts w:cstheme="minorHAnsi"/>
          <w:snapToGrid w:val="0"/>
          <w:sz w:val="16"/>
        </w:rPr>
        <w:t xml:space="preserve"> (link is external). </w:t>
      </w:r>
      <w:r>
        <w:rPr>
          <w:rFonts w:cstheme="minorHAnsi"/>
          <w:snapToGrid w:val="0"/>
          <w:sz w:val="16"/>
        </w:rPr>
        <w:t>Accessed August 2016.</w:t>
      </w:r>
    </w:p>
    <w:p w:rsidR="00E8162E" w:rsidRPr="00E8162E" w:rsidRDefault="00E8162E" w:rsidP="008D45C6">
      <w:pPr>
        <w:jc w:val="both"/>
        <w:rPr>
          <w:rFonts w:asciiTheme="majorHAnsi" w:hAnsiTheme="majorHAnsi" w:cstheme="majorHAnsi"/>
        </w:rPr>
      </w:pPr>
    </w:p>
    <w:p w:rsidR="00E8162E" w:rsidRPr="00464951" w:rsidRDefault="00E8162E" w:rsidP="00CF3FF5">
      <w:pPr>
        <w:tabs>
          <w:tab w:val="left" w:pos="0"/>
          <w:tab w:val="left" w:pos="3600"/>
        </w:tabs>
        <w:jc w:val="center"/>
        <w:rPr>
          <w:rFonts w:asciiTheme="majorHAnsi" w:hAnsiTheme="majorHAnsi" w:cstheme="majorHAnsi"/>
        </w:rPr>
      </w:pPr>
      <w:r w:rsidRPr="00464951">
        <w:rPr>
          <w:rFonts w:asciiTheme="majorHAnsi" w:hAnsiTheme="majorHAnsi" w:cstheme="majorHAnsi"/>
        </w:rPr>
        <w:t># # #</w:t>
      </w:r>
    </w:p>
    <w:p w:rsidR="00BB7F0F" w:rsidRPr="00464951" w:rsidRDefault="00BB7F0F" w:rsidP="008D45C6">
      <w:pPr>
        <w:jc w:val="both"/>
      </w:pPr>
    </w:p>
    <w:p w:rsidR="00CF3FF5" w:rsidRDefault="00CF3FF5" w:rsidP="00CF3FF5">
      <w:pPr>
        <w:pStyle w:val="SubheadText"/>
        <w:jc w:val="both"/>
      </w:pPr>
    </w:p>
    <w:p w:rsidR="00CF3FF5" w:rsidRPr="00CF3FF5" w:rsidRDefault="00CF3FF5" w:rsidP="00CF3FF5">
      <w:pPr>
        <w:pStyle w:val="SubheadText"/>
        <w:jc w:val="both"/>
        <w:rPr>
          <w:b w:val="0"/>
          <w:lang w:val="el-GR"/>
        </w:rPr>
      </w:pPr>
      <w:r w:rsidRPr="00CF3FF5">
        <w:rPr>
          <w:b w:val="0"/>
          <w:lang w:val="el-GR"/>
        </w:rPr>
        <w:t>Για περισσότερες πληροφορίες:</w:t>
      </w:r>
    </w:p>
    <w:p w:rsidR="00CF3FF5" w:rsidRPr="00CF3FF5" w:rsidRDefault="00CF3FF5" w:rsidP="00CF3FF5">
      <w:pPr>
        <w:pStyle w:val="SubheadText"/>
        <w:jc w:val="both"/>
        <w:rPr>
          <w:lang w:val="el-GR"/>
        </w:rPr>
      </w:pPr>
    </w:p>
    <w:p w:rsidR="00CF3FF5" w:rsidRPr="00CF3FF5" w:rsidRDefault="00CF3FF5" w:rsidP="00CF3FF5">
      <w:pPr>
        <w:pStyle w:val="SubheadText"/>
        <w:jc w:val="both"/>
        <w:rPr>
          <w:rFonts w:asciiTheme="majorHAnsi" w:hAnsiTheme="majorHAnsi" w:cstheme="majorHAnsi"/>
          <w:lang w:val="el-GR"/>
        </w:rPr>
      </w:pPr>
      <w:r w:rsidRPr="00CF3FF5">
        <w:rPr>
          <w:rFonts w:asciiTheme="majorHAnsi" w:hAnsiTheme="majorHAnsi" w:cstheme="majorHAnsi"/>
          <w:lang w:val="el-GR"/>
        </w:rPr>
        <w:t>Νατάσα Χατζηπρίμου</w:t>
      </w:r>
    </w:p>
    <w:p w:rsidR="00CF3FF5" w:rsidRPr="00CF3FF5" w:rsidRDefault="00CF3FF5" w:rsidP="00CF3FF5">
      <w:pPr>
        <w:pStyle w:val="SubheadText"/>
        <w:jc w:val="both"/>
        <w:rPr>
          <w:rFonts w:asciiTheme="majorHAnsi" w:hAnsiTheme="majorHAnsi" w:cstheme="majorHAnsi"/>
          <w:lang w:val="el-GR"/>
        </w:rPr>
      </w:pPr>
      <w:r w:rsidRPr="00CF3FF5">
        <w:rPr>
          <w:rFonts w:asciiTheme="majorHAnsi" w:hAnsiTheme="majorHAnsi" w:cstheme="majorHAnsi"/>
          <w:lang w:val="el-GR"/>
        </w:rPr>
        <w:t>Τηλ: 210 2897028</w:t>
      </w:r>
    </w:p>
    <w:p w:rsidR="00CF3FF5" w:rsidRPr="00CF3FF5" w:rsidRDefault="00CF3FF5" w:rsidP="00CF3FF5">
      <w:pPr>
        <w:pStyle w:val="SubheadText"/>
        <w:jc w:val="both"/>
        <w:rPr>
          <w:rFonts w:asciiTheme="majorHAnsi" w:hAnsiTheme="majorHAnsi" w:cstheme="majorHAnsi"/>
        </w:rPr>
      </w:pPr>
      <w:r w:rsidRPr="00CF3FF5">
        <w:rPr>
          <w:rFonts w:asciiTheme="majorHAnsi" w:hAnsiTheme="majorHAnsi" w:cstheme="majorHAnsi"/>
        </w:rPr>
        <w:t>natasa.chatziprimou@novartis.com</w:t>
      </w:r>
    </w:p>
    <w:p w:rsidR="000930FF" w:rsidRPr="00CF3FF5" w:rsidRDefault="00CF3FF5" w:rsidP="00CF3FF5">
      <w:pPr>
        <w:pStyle w:val="SubheadText"/>
        <w:jc w:val="both"/>
        <w:rPr>
          <w:rFonts w:asciiTheme="majorHAnsi" w:hAnsiTheme="majorHAnsi" w:cstheme="majorHAnsi"/>
        </w:rPr>
      </w:pPr>
      <w:r w:rsidRPr="00CF3FF5">
        <w:rPr>
          <w:rFonts w:asciiTheme="majorHAnsi" w:hAnsiTheme="majorHAnsi" w:cstheme="majorHAnsi"/>
        </w:rPr>
        <w:t>www.novartis.com</w:t>
      </w:r>
    </w:p>
    <w:sectPr w:rsidR="000930FF" w:rsidRPr="00CF3FF5" w:rsidSect="00DA6530">
      <w:headerReference w:type="default" r:id="rId18"/>
      <w:headerReference w:type="first" r:id="rId19"/>
      <w:pgSz w:w="11900" w:h="16820"/>
      <w:pgMar w:top="2381" w:right="1418" w:bottom="1077" w:left="2155" w:header="107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B03" w:rsidRDefault="00F05B03" w:rsidP="00852473">
      <w:pPr>
        <w:spacing w:line="240" w:lineRule="auto"/>
      </w:pPr>
      <w:r>
        <w:separator/>
      </w:r>
    </w:p>
  </w:endnote>
  <w:endnote w:type="continuationSeparator" w:id="0">
    <w:p w:rsidR="00F05B03" w:rsidRDefault="00F05B03" w:rsidP="00852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abon">
    <w:altName w:val="Times New Roman"/>
    <w:charset w:val="A1"/>
    <w:family w:val="roman"/>
    <w:pitch w:val="variable"/>
    <w:sig w:usb0="00000287" w:usb1="00000000" w:usb2="00000000" w:usb3="00000000" w:csb0="0000009F" w:csb1="00000000"/>
  </w:font>
  <w:font w:name="News Gothic MT">
    <w:altName w:val="Corbel"/>
    <w:charset w:val="A1"/>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B03" w:rsidRDefault="00F05B03" w:rsidP="00852473">
      <w:pPr>
        <w:spacing w:line="240" w:lineRule="auto"/>
      </w:pPr>
      <w:r>
        <w:separator/>
      </w:r>
    </w:p>
  </w:footnote>
  <w:footnote w:type="continuationSeparator" w:id="0">
    <w:p w:rsidR="00F05B03" w:rsidRDefault="00F05B03" w:rsidP="008524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BD" w:rsidRPr="00FA638E" w:rsidRDefault="00D14EBD" w:rsidP="00FA638E">
    <w:pPr>
      <w:pStyle w:val="Header"/>
    </w:pPr>
    <w:r>
      <w:t xml:space="preserve">Σελίδα </w:t>
    </w:r>
    <w:r w:rsidR="00084B0C" w:rsidRPr="00FA638E">
      <w:fldChar w:fldCharType="begin"/>
    </w:r>
    <w:r w:rsidRPr="00FA638E">
      <w:instrText xml:space="preserve"> PAGE </w:instrText>
    </w:r>
    <w:r w:rsidR="00084B0C" w:rsidRPr="00FA638E">
      <w:fldChar w:fldCharType="separate"/>
    </w:r>
    <w:r w:rsidR="009455CB">
      <w:rPr>
        <w:noProof/>
      </w:rPr>
      <w:t>4</w:t>
    </w:r>
    <w:r w:rsidR="00084B0C" w:rsidRPr="00FA638E">
      <w:fldChar w:fldCharType="end"/>
    </w:r>
    <w:r>
      <w:t xml:space="preserve"> από </w:t>
    </w:r>
    <w:r w:rsidR="00F05B03">
      <w:fldChar w:fldCharType="begin"/>
    </w:r>
    <w:r w:rsidR="00F05B03">
      <w:instrText xml:space="preserve"> NUMPAGES </w:instrText>
    </w:r>
    <w:r w:rsidR="00F05B03">
      <w:fldChar w:fldCharType="separate"/>
    </w:r>
    <w:r w:rsidR="009455CB">
      <w:rPr>
        <w:noProof/>
      </w:rPr>
      <w:t>5</w:t>
    </w:r>
    <w:r w:rsidR="00F05B03">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C6" w:rsidRPr="008D45C6" w:rsidRDefault="008D45C6" w:rsidP="008D45C6">
    <w:pPr>
      <w:tabs>
        <w:tab w:val="left" w:pos="284"/>
        <w:tab w:val="center" w:pos="4320"/>
        <w:tab w:val="right" w:pos="8640"/>
      </w:tabs>
      <w:spacing w:line="240" w:lineRule="auto"/>
      <w:jc w:val="right"/>
      <w:rPr>
        <w:rFonts w:ascii="Arial" w:eastAsia="Times New Roman" w:hAnsi="Arial" w:cs="Arial"/>
        <w:color w:val="000000"/>
        <w:sz w:val="16"/>
        <w:szCs w:val="16"/>
        <w:lang w:val="el-GR"/>
      </w:rPr>
    </w:pPr>
    <w:r>
      <w:rPr>
        <w:noProof/>
        <w:lang w:val="el-GR" w:eastAsia="el-GR"/>
      </w:rPr>
      <mc:AlternateContent>
        <mc:Choice Requires="wps">
          <w:drawing>
            <wp:anchor distT="0" distB="0" distL="0" distR="0" simplePos="0" relativeHeight="251659264" behindDoc="1" locked="0" layoutInCell="1" allowOverlap="1" wp14:anchorId="557693F9" wp14:editId="4117A261">
              <wp:simplePos x="0" y="0"/>
              <wp:positionH relativeFrom="page">
                <wp:posOffset>0</wp:posOffset>
              </wp:positionH>
              <wp:positionV relativeFrom="page">
                <wp:posOffset>0</wp:posOffset>
              </wp:positionV>
              <wp:extent cx="7559675" cy="1406106"/>
              <wp:effectExtent l="0" t="0" r="0" b="381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406106"/>
                      </a:xfrm>
                      <a:prstGeom prst="rect">
                        <a:avLst/>
                      </a:prstGeom>
                      <a:no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75898" id="Rectangle 1" o:spid="_x0000_s1026" style="position:absolute;margin-left:0;margin-top:0;width:595.25pt;height:110.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" filled="f" stroked="f" strokeweight="1pt">
              <v:stroke endcap="square"/>
              <v:path arrowok="t"/>
              <w10:wrap type="square" anchorx="page" anchory="page"/>
            </v:rect>
          </w:pict>
        </mc:Fallback>
      </mc:AlternateContent>
    </w:r>
    <w:r w:rsidRPr="008D45C6">
      <w:rPr>
        <w:rFonts w:ascii="Arial" w:eastAsia="Times New Roman" w:hAnsi="Arial" w:cs="Arial"/>
        <w:b/>
        <w:color w:val="000000"/>
        <w:sz w:val="16"/>
        <w:szCs w:val="16"/>
        <w:lang w:val="el-GR"/>
      </w:rPr>
      <w:t>Ν</w:t>
    </w:r>
    <w:r w:rsidRPr="008D45C6">
      <w:rPr>
        <w:rFonts w:ascii="Arial" w:eastAsia="Times New Roman" w:hAnsi="Arial" w:cs="Arial"/>
        <w:b/>
        <w:color w:val="000000"/>
        <w:sz w:val="16"/>
        <w:szCs w:val="16"/>
        <w:lang w:val="fr-FR"/>
      </w:rPr>
      <w:t>ovartis</w:t>
    </w:r>
    <w:r w:rsidRPr="008D45C6">
      <w:rPr>
        <w:rFonts w:ascii="Arial" w:eastAsia="Times New Roman" w:hAnsi="Arial" w:cs="Arial"/>
        <w:b/>
        <w:color w:val="000000"/>
        <w:sz w:val="16"/>
        <w:szCs w:val="16"/>
        <w:lang w:val="el-GR"/>
      </w:rPr>
      <w:t xml:space="preserve"> </w:t>
    </w:r>
    <w:r w:rsidRPr="008D45C6">
      <w:rPr>
        <w:rFonts w:ascii="Arial" w:eastAsia="Times New Roman" w:hAnsi="Arial" w:cs="Arial"/>
        <w:b/>
        <w:color w:val="000000"/>
        <w:sz w:val="16"/>
        <w:szCs w:val="16"/>
        <w:lang w:val="fr-FR"/>
      </w:rPr>
      <w:t>Hellas</w:t>
    </w:r>
    <w:r w:rsidRPr="008D45C6">
      <w:rPr>
        <w:rFonts w:ascii="Arial" w:eastAsia="Times New Roman" w:hAnsi="Arial" w:cs="Arial"/>
        <w:color w:val="000000"/>
        <w:sz w:val="16"/>
        <w:szCs w:val="16"/>
        <w:lang w:val="el-GR"/>
      </w:rPr>
      <w:br/>
      <w:t xml:space="preserve">Τμήμα Επικοινωνίας </w:t>
    </w:r>
    <w:r w:rsidRPr="008D45C6">
      <w:rPr>
        <w:rFonts w:ascii="Arial" w:eastAsia="Times New Roman" w:hAnsi="Arial" w:cs="Arial"/>
        <w:color w:val="000000"/>
        <w:sz w:val="16"/>
        <w:szCs w:val="16"/>
        <w:lang w:val="el-GR"/>
      </w:rPr>
      <w:br/>
    </w:r>
    <w:r w:rsidRPr="008D45C6">
      <w:rPr>
        <w:rFonts w:ascii="Arial" w:eastAsia="Times New Roman" w:hAnsi="Arial" w:cs="Arial"/>
        <w:color w:val="000000"/>
        <w:sz w:val="16"/>
        <w:szCs w:val="16"/>
        <w:lang w:val="el-GR"/>
      </w:rPr>
      <w:br/>
      <w:t>Ελλάδα</w:t>
    </w:r>
  </w:p>
  <w:p w:rsidR="00D7234A" w:rsidRPr="008D45C6" w:rsidRDefault="008D45C6" w:rsidP="008D45C6">
    <w:pPr>
      <w:tabs>
        <w:tab w:val="center" w:pos="4320"/>
        <w:tab w:val="right" w:pos="8640"/>
      </w:tabs>
      <w:spacing w:line="240" w:lineRule="auto"/>
      <w:jc w:val="right"/>
      <w:rPr>
        <w:rFonts w:ascii="Times New Roman" w:eastAsia="Times New Roman" w:hAnsi="Times New Roman" w:cs="Times New Roman"/>
        <w:sz w:val="24"/>
        <w:szCs w:val="24"/>
        <w:lang w:val="el-GR"/>
      </w:rPr>
    </w:pPr>
    <w:r w:rsidRPr="008D45C6">
      <w:rPr>
        <w:rFonts w:ascii="Arial" w:eastAsia="Times New Roman" w:hAnsi="Arial" w:cs="Arial"/>
        <w:color w:val="0000FF"/>
        <w:sz w:val="16"/>
        <w:szCs w:val="16"/>
        <w:u w:val="single"/>
        <w:lang w:val="es-ES"/>
      </w:rPr>
      <w:t>http</w:t>
    </w:r>
    <w:r w:rsidRPr="008D45C6">
      <w:rPr>
        <w:rFonts w:ascii="Arial" w:eastAsia="Times New Roman" w:hAnsi="Arial" w:cs="Arial"/>
        <w:color w:val="0000FF"/>
        <w:sz w:val="16"/>
        <w:szCs w:val="16"/>
        <w:u w:val="single"/>
        <w:lang w:val="el-GR"/>
      </w:rPr>
      <w:t>://</w:t>
    </w:r>
    <w:r w:rsidRPr="008D45C6">
      <w:rPr>
        <w:rFonts w:ascii="Arial" w:eastAsia="Times New Roman" w:hAnsi="Arial" w:cs="Arial"/>
        <w:color w:val="0000FF"/>
        <w:sz w:val="16"/>
        <w:szCs w:val="16"/>
        <w:u w:val="single"/>
        <w:lang w:val="es-ES"/>
      </w:rPr>
      <w:t>www</w:t>
    </w:r>
    <w:r w:rsidRPr="008D45C6">
      <w:rPr>
        <w:rFonts w:ascii="Arial" w:eastAsia="Times New Roman" w:hAnsi="Arial" w:cs="Arial"/>
        <w:color w:val="0000FF"/>
        <w:sz w:val="16"/>
        <w:szCs w:val="16"/>
        <w:u w:val="single"/>
        <w:lang w:val="el-GR"/>
      </w:rPr>
      <w:t>.</w:t>
    </w:r>
    <w:r w:rsidRPr="008D45C6">
      <w:rPr>
        <w:rFonts w:ascii="Arial" w:eastAsia="Times New Roman" w:hAnsi="Arial" w:cs="Arial"/>
        <w:color w:val="0000FF"/>
        <w:sz w:val="16"/>
        <w:szCs w:val="16"/>
        <w:u w:val="single"/>
        <w:lang w:val="es-ES"/>
      </w:rPr>
      <w:t>novartis</w:t>
    </w:r>
    <w:r w:rsidRPr="008D45C6">
      <w:rPr>
        <w:rFonts w:ascii="Arial" w:eastAsia="Times New Roman" w:hAnsi="Arial" w:cs="Arial"/>
        <w:color w:val="0000FF"/>
        <w:sz w:val="16"/>
        <w:szCs w:val="16"/>
        <w:u w:val="single"/>
        <w:lang w:val="el-GR"/>
      </w:rPr>
      <w:t>.</w:t>
    </w:r>
    <w:r w:rsidRPr="008D45C6">
      <w:rPr>
        <w:rFonts w:ascii="Arial" w:eastAsia="Times New Roman" w:hAnsi="Arial" w:cs="Arial"/>
        <w:color w:val="0000FF"/>
        <w:sz w:val="16"/>
        <w:szCs w:val="16"/>
        <w:u w:val="single"/>
      </w:rPr>
      <w:t>gr</w:t>
    </w:r>
  </w:p>
  <w:p w:rsidR="00D7234A" w:rsidRPr="008D45C6" w:rsidRDefault="00D7234A">
    <w:pPr>
      <w:pStyle w:val="Header"/>
      <w:rPr>
        <w:lang w:val="el-GR"/>
      </w:rPr>
    </w:pPr>
  </w:p>
  <w:p w:rsidR="00E8162E" w:rsidRPr="008D45C6" w:rsidRDefault="00E8162E">
    <w:pPr>
      <w:pStyle w:val="Header"/>
      <w:rPr>
        <w:lang w:val="el-GR"/>
      </w:rPr>
    </w:pPr>
  </w:p>
  <w:p w:rsidR="00D14EBD" w:rsidRPr="00DE2F3F" w:rsidRDefault="00DE2F3F" w:rsidP="00DE2F3F">
    <w:pPr>
      <w:shd w:val="clear" w:color="auto" w:fill="B8B8B8" w:themeFill="background2" w:themeFillShade="E6"/>
      <w:spacing w:line="200" w:lineRule="atLeast"/>
      <w:jc w:val="center"/>
      <w:rPr>
        <w:b/>
        <w:noProof/>
        <w:sz w:val="22"/>
        <w:szCs w:val="16"/>
      </w:rPr>
    </w:pPr>
    <w:r>
      <w:rPr>
        <w:b/>
        <w:noProof/>
        <w:sz w:val="22"/>
      </w:rPr>
      <w:t>ΔΕΛΤΙΟ ΤΥΠΟΥ</w:t>
    </w:r>
    <w:r>
      <w:rPr>
        <w:noProof/>
        <w:lang w:val="el-GR" w:eastAsia="el-GR"/>
      </w:rPr>
      <w:drawing>
        <wp:anchor distT="0" distB="0" distL="114300" distR="114300" simplePos="0" relativeHeight="251665408" behindDoc="0" locked="0" layoutInCell="1" allowOverlap="1" wp14:anchorId="42BD44CC" wp14:editId="72050C9D">
          <wp:simplePos x="0" y="0"/>
          <wp:positionH relativeFrom="page">
            <wp:posOffset>1345142</wp:posOffset>
          </wp:positionH>
          <wp:positionV relativeFrom="page">
            <wp:posOffset>582930</wp:posOffset>
          </wp:positionV>
          <wp:extent cx="1810385" cy="33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10385" cy="330200"/>
                  </a:xfrm>
                  <a:prstGeom prst="rect">
                    <a:avLst/>
                  </a:prstGeom>
                  <a:extLst>
                    <a:ext uri="{FAA26D3D-D897-4be2-8F04-BA451C77F1D7}">
                      <ma14:placeholderFlag xmlns:w="http://schemas.openxmlformats.org/wordprocessingml/2006/main" xmlns:o="urn:schemas-microsoft-com:office:office" xmlns:v="urn:schemas-microsoft-com:vml" xmlns:w10="urn:schemas-microsoft-com:office:word" xmlns="" xmlns:mo="http://schemas.microsoft.com/office/mac/office/2008/main" xmlns:mv="urn:schemas-microsoft-com:mac:vml"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3F0E"/>
    <w:multiLevelType w:val="hybridMultilevel"/>
    <w:tmpl w:val="628E3E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844AA"/>
    <w:multiLevelType w:val="multilevel"/>
    <w:tmpl w:val="3872B566"/>
    <w:lvl w:ilvl="0">
      <w:start w:val="1"/>
      <w:numFmt w:val="decimal"/>
      <w:pStyle w:val="Numbers"/>
      <w:lvlText w:val="%1."/>
      <w:lvlJc w:val="left"/>
      <w:pPr>
        <w:ind w:left="288" w:hanging="288"/>
      </w:pPr>
      <w:rPr>
        <w:rFonts w:ascii="Arial" w:hAnsi="Arial" w:hint="default"/>
      </w:rPr>
    </w:lvl>
    <w:lvl w:ilvl="1">
      <w:start w:val="1"/>
      <w:numFmt w:val="lowerLetter"/>
      <w:lvlText w:val="%2."/>
      <w:lvlJc w:val="left"/>
      <w:pPr>
        <w:ind w:left="576" w:hanging="288"/>
      </w:pPr>
      <w:rPr>
        <w:rFonts w:ascii="Arial" w:hAnsi="Arial" w:hint="default"/>
      </w:rPr>
    </w:lvl>
    <w:lvl w:ilvl="2">
      <w:start w:val="1"/>
      <w:numFmt w:val="lowerRoman"/>
      <w:lvlText w:val="%3."/>
      <w:lvlJc w:val="left"/>
      <w:pPr>
        <w:ind w:left="864" w:hanging="288"/>
      </w:pPr>
      <w:rPr>
        <w:rFonts w:ascii="Arial" w:hAnsi="Arial" w:hint="default"/>
      </w:rPr>
    </w:lvl>
    <w:lvl w:ilvl="3">
      <w:start w:val="1"/>
      <w:numFmt w:val="decimal"/>
      <w:lvlText w:val="%4)"/>
      <w:lvlJc w:val="left"/>
      <w:pPr>
        <w:ind w:left="1152" w:hanging="288"/>
      </w:pPr>
      <w:rPr>
        <w:rFonts w:ascii="Arial" w:hAnsi="Arial" w:hint="default"/>
      </w:rPr>
    </w:lvl>
    <w:lvl w:ilvl="4">
      <w:start w:val="1"/>
      <w:numFmt w:val="lowerLetter"/>
      <w:lvlText w:val="%5)"/>
      <w:lvlJc w:val="left"/>
      <w:pPr>
        <w:ind w:left="1440" w:hanging="288"/>
      </w:pPr>
      <w:rPr>
        <w:rFonts w:ascii="Arial" w:hAnsi="Arial" w:hint="default"/>
      </w:rPr>
    </w:lvl>
    <w:lvl w:ilvl="5">
      <w:start w:val="1"/>
      <w:numFmt w:val="lowerRoman"/>
      <w:lvlText w:val="%6)"/>
      <w:lvlJc w:val="left"/>
      <w:pPr>
        <w:ind w:left="1728" w:hanging="288"/>
      </w:pPr>
      <w:rPr>
        <w:rFonts w:ascii="Arial" w:hAnsi="Arial" w:hint="default"/>
      </w:rPr>
    </w:lvl>
    <w:lvl w:ilvl="6">
      <w:start w:val="1"/>
      <w:numFmt w:val="decimal"/>
      <w:lvlText w:val="(%7)"/>
      <w:lvlJc w:val="left"/>
      <w:pPr>
        <w:ind w:left="2016" w:hanging="288"/>
      </w:pPr>
      <w:rPr>
        <w:rFonts w:ascii="Arial" w:hAnsi="Arial" w:hint="default"/>
      </w:rPr>
    </w:lvl>
    <w:lvl w:ilvl="7">
      <w:start w:val="1"/>
      <w:numFmt w:val="lowerLetter"/>
      <w:lvlText w:val="(%8)"/>
      <w:lvlJc w:val="left"/>
      <w:pPr>
        <w:ind w:left="2304" w:hanging="288"/>
      </w:pPr>
      <w:rPr>
        <w:rFonts w:ascii="Arial" w:hAnsi="Arial" w:hint="default"/>
      </w:rPr>
    </w:lvl>
    <w:lvl w:ilvl="8">
      <w:start w:val="1"/>
      <w:numFmt w:val="lowerRoman"/>
      <w:lvlText w:val="(%9)"/>
      <w:lvlJc w:val="left"/>
      <w:pPr>
        <w:ind w:left="2592" w:hanging="288"/>
      </w:pPr>
      <w:rPr>
        <w:rFonts w:ascii="Arial" w:hAnsi="Arial" w:hint="default"/>
      </w:rPr>
    </w:lvl>
  </w:abstractNum>
  <w:abstractNum w:abstractNumId="2" w15:restartNumberingAfterBreak="0">
    <w:nsid w:val="37212B49"/>
    <w:multiLevelType w:val="hybridMultilevel"/>
    <w:tmpl w:val="F27AB3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E6C293F"/>
    <w:multiLevelType w:val="hybridMultilevel"/>
    <w:tmpl w:val="0E0E7A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2211E23"/>
    <w:multiLevelType w:val="multilevel"/>
    <w:tmpl w:val="DE36754C"/>
    <w:lvl w:ilvl="0">
      <w:start w:val="1"/>
      <w:numFmt w:val="bullet"/>
      <w:pStyle w:val="Bullets"/>
      <w:lvlText w:val="•"/>
      <w:lvlJc w:val="left"/>
      <w:pPr>
        <w:ind w:left="216" w:hanging="216"/>
      </w:pPr>
      <w:rPr>
        <w:rFonts w:ascii="Arial" w:hAnsi="Arial" w:hint="default"/>
      </w:rPr>
    </w:lvl>
    <w:lvl w:ilvl="1">
      <w:start w:val="1"/>
      <w:numFmt w:val="bullet"/>
      <w:lvlText w:val="–"/>
      <w:lvlJc w:val="left"/>
      <w:pPr>
        <w:ind w:left="432" w:hanging="216"/>
      </w:pPr>
      <w:rPr>
        <w:rFonts w:ascii="Arial" w:hAnsi="Arial" w:hint="default"/>
      </w:rPr>
    </w:lvl>
    <w:lvl w:ilvl="2">
      <w:start w:val="1"/>
      <w:numFmt w:val="bullet"/>
      <w:lvlText w:val="–"/>
      <w:lvlJc w:val="left"/>
      <w:pPr>
        <w:ind w:left="648" w:hanging="216"/>
      </w:pPr>
      <w:rPr>
        <w:rFonts w:ascii="Arial" w:hAnsi="Arial" w:hint="default"/>
      </w:rPr>
    </w:lvl>
    <w:lvl w:ilvl="3">
      <w:start w:val="1"/>
      <w:numFmt w:val="bullet"/>
      <w:lvlText w:val="–"/>
      <w:lvlJc w:val="left"/>
      <w:pPr>
        <w:ind w:left="864" w:hanging="216"/>
      </w:pPr>
      <w:rPr>
        <w:rFonts w:ascii="Arial" w:hAnsi="Arial" w:hint="default"/>
      </w:rPr>
    </w:lvl>
    <w:lvl w:ilvl="4">
      <w:start w:val="1"/>
      <w:numFmt w:val="bullet"/>
      <w:lvlText w:val="–"/>
      <w:lvlJc w:val="left"/>
      <w:pPr>
        <w:ind w:left="1080" w:hanging="216"/>
      </w:pPr>
      <w:rPr>
        <w:rFonts w:ascii="Arial" w:hAnsi="Arial" w:hint="default"/>
      </w:rPr>
    </w:lvl>
    <w:lvl w:ilvl="5">
      <w:start w:val="1"/>
      <w:numFmt w:val="bullet"/>
      <w:lvlText w:val="–"/>
      <w:lvlJc w:val="left"/>
      <w:pPr>
        <w:ind w:left="1296" w:hanging="216"/>
      </w:pPr>
      <w:rPr>
        <w:rFonts w:ascii="Arial" w:hAnsi="Arial" w:hint="default"/>
      </w:rPr>
    </w:lvl>
    <w:lvl w:ilvl="6">
      <w:start w:val="1"/>
      <w:numFmt w:val="bullet"/>
      <w:lvlText w:val="–"/>
      <w:lvlJc w:val="left"/>
      <w:pPr>
        <w:ind w:left="1512" w:hanging="216"/>
      </w:pPr>
      <w:rPr>
        <w:rFonts w:ascii="Arial" w:hAnsi="Arial" w:hint="default"/>
      </w:rPr>
    </w:lvl>
    <w:lvl w:ilvl="7">
      <w:start w:val="1"/>
      <w:numFmt w:val="bullet"/>
      <w:lvlText w:val="–"/>
      <w:lvlJc w:val="left"/>
      <w:pPr>
        <w:ind w:left="1728" w:hanging="216"/>
      </w:pPr>
      <w:rPr>
        <w:rFonts w:ascii="Arial" w:hAnsi="Arial" w:hint="default"/>
      </w:rPr>
    </w:lvl>
    <w:lvl w:ilvl="8">
      <w:start w:val="1"/>
      <w:numFmt w:val="bullet"/>
      <w:lvlText w:val="–"/>
      <w:lvlJc w:val="left"/>
      <w:pPr>
        <w:ind w:left="1944" w:hanging="216"/>
      </w:pPr>
      <w:rPr>
        <w:rFonts w:ascii="Arial" w:hAnsi="Arial"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C5"/>
    <w:rsid w:val="00000414"/>
    <w:rsid w:val="00014E58"/>
    <w:rsid w:val="00017C0F"/>
    <w:rsid w:val="00025016"/>
    <w:rsid w:val="000252ED"/>
    <w:rsid w:val="00026DA5"/>
    <w:rsid w:val="0003143F"/>
    <w:rsid w:val="00034E5C"/>
    <w:rsid w:val="00046E4C"/>
    <w:rsid w:val="000537F4"/>
    <w:rsid w:val="00054C47"/>
    <w:rsid w:val="00057D35"/>
    <w:rsid w:val="00062925"/>
    <w:rsid w:val="000677CA"/>
    <w:rsid w:val="00070F63"/>
    <w:rsid w:val="00084B0C"/>
    <w:rsid w:val="000930FF"/>
    <w:rsid w:val="00094984"/>
    <w:rsid w:val="000962D6"/>
    <w:rsid w:val="000A3E6C"/>
    <w:rsid w:val="000B4513"/>
    <w:rsid w:val="000B5D16"/>
    <w:rsid w:val="000C1791"/>
    <w:rsid w:val="000C7957"/>
    <w:rsid w:val="000E020B"/>
    <w:rsid w:val="000E403C"/>
    <w:rsid w:val="000E4ADA"/>
    <w:rsid w:val="0011625D"/>
    <w:rsid w:val="00116BA7"/>
    <w:rsid w:val="00130867"/>
    <w:rsid w:val="00145329"/>
    <w:rsid w:val="00154711"/>
    <w:rsid w:val="001579D2"/>
    <w:rsid w:val="001644B9"/>
    <w:rsid w:val="00170F67"/>
    <w:rsid w:val="00171AD9"/>
    <w:rsid w:val="00172BC6"/>
    <w:rsid w:val="00180E11"/>
    <w:rsid w:val="00185A74"/>
    <w:rsid w:val="00196269"/>
    <w:rsid w:val="00197507"/>
    <w:rsid w:val="001A054E"/>
    <w:rsid w:val="001B0A45"/>
    <w:rsid w:val="001B0CA0"/>
    <w:rsid w:val="001B3648"/>
    <w:rsid w:val="001C40B0"/>
    <w:rsid w:val="001E0513"/>
    <w:rsid w:val="002049F9"/>
    <w:rsid w:val="002167F4"/>
    <w:rsid w:val="0024465C"/>
    <w:rsid w:val="0026671E"/>
    <w:rsid w:val="0027391D"/>
    <w:rsid w:val="0028303A"/>
    <w:rsid w:val="00283351"/>
    <w:rsid w:val="002870E7"/>
    <w:rsid w:val="00293710"/>
    <w:rsid w:val="002B7278"/>
    <w:rsid w:val="002C4095"/>
    <w:rsid w:val="002D4BB1"/>
    <w:rsid w:val="002E3EF1"/>
    <w:rsid w:val="002E6E43"/>
    <w:rsid w:val="002F0298"/>
    <w:rsid w:val="002F212A"/>
    <w:rsid w:val="002F7C9F"/>
    <w:rsid w:val="0030156E"/>
    <w:rsid w:val="003054AE"/>
    <w:rsid w:val="00305996"/>
    <w:rsid w:val="0030775B"/>
    <w:rsid w:val="00315E5E"/>
    <w:rsid w:val="00317A7F"/>
    <w:rsid w:val="003249D6"/>
    <w:rsid w:val="00327CCD"/>
    <w:rsid w:val="0033138D"/>
    <w:rsid w:val="00333F29"/>
    <w:rsid w:val="0034718B"/>
    <w:rsid w:val="003626A0"/>
    <w:rsid w:val="003756AD"/>
    <w:rsid w:val="00377421"/>
    <w:rsid w:val="00384123"/>
    <w:rsid w:val="00395955"/>
    <w:rsid w:val="003A2EF7"/>
    <w:rsid w:val="003A5495"/>
    <w:rsid w:val="003B38FC"/>
    <w:rsid w:val="003B5FF5"/>
    <w:rsid w:val="004002D2"/>
    <w:rsid w:val="004106E2"/>
    <w:rsid w:val="00416DE9"/>
    <w:rsid w:val="00420EE8"/>
    <w:rsid w:val="00434E5C"/>
    <w:rsid w:val="00453B1C"/>
    <w:rsid w:val="00454BE4"/>
    <w:rsid w:val="004573C5"/>
    <w:rsid w:val="00464951"/>
    <w:rsid w:val="0047470D"/>
    <w:rsid w:val="004A6478"/>
    <w:rsid w:val="004B1A0A"/>
    <w:rsid w:val="004D0FA9"/>
    <w:rsid w:val="004D181A"/>
    <w:rsid w:val="004F20BD"/>
    <w:rsid w:val="004F31CE"/>
    <w:rsid w:val="004F5399"/>
    <w:rsid w:val="004F65A3"/>
    <w:rsid w:val="00503D82"/>
    <w:rsid w:val="005228B3"/>
    <w:rsid w:val="00546483"/>
    <w:rsid w:val="00546F12"/>
    <w:rsid w:val="0054702A"/>
    <w:rsid w:val="00552307"/>
    <w:rsid w:val="00557558"/>
    <w:rsid w:val="00565FDF"/>
    <w:rsid w:val="005741C0"/>
    <w:rsid w:val="0057699C"/>
    <w:rsid w:val="00583E2F"/>
    <w:rsid w:val="00585E58"/>
    <w:rsid w:val="00590143"/>
    <w:rsid w:val="00592E75"/>
    <w:rsid w:val="005956DE"/>
    <w:rsid w:val="005B53A9"/>
    <w:rsid w:val="005B551B"/>
    <w:rsid w:val="005C53A1"/>
    <w:rsid w:val="005D1267"/>
    <w:rsid w:val="005E6802"/>
    <w:rsid w:val="005F5018"/>
    <w:rsid w:val="005F66C9"/>
    <w:rsid w:val="00604ED1"/>
    <w:rsid w:val="0061439C"/>
    <w:rsid w:val="00614F3E"/>
    <w:rsid w:val="00617FA6"/>
    <w:rsid w:val="00627F76"/>
    <w:rsid w:val="00634424"/>
    <w:rsid w:val="00642A07"/>
    <w:rsid w:val="006628CC"/>
    <w:rsid w:val="0066797B"/>
    <w:rsid w:val="006748E6"/>
    <w:rsid w:val="00684C44"/>
    <w:rsid w:val="006A490D"/>
    <w:rsid w:val="006C1975"/>
    <w:rsid w:val="006C3C51"/>
    <w:rsid w:val="006D1BEF"/>
    <w:rsid w:val="006E4BDC"/>
    <w:rsid w:val="006E4DA2"/>
    <w:rsid w:val="00704418"/>
    <w:rsid w:val="00711927"/>
    <w:rsid w:val="00713675"/>
    <w:rsid w:val="007210E2"/>
    <w:rsid w:val="007235A9"/>
    <w:rsid w:val="0073153B"/>
    <w:rsid w:val="007434D1"/>
    <w:rsid w:val="007555D7"/>
    <w:rsid w:val="007606DC"/>
    <w:rsid w:val="00774953"/>
    <w:rsid w:val="00784691"/>
    <w:rsid w:val="00791750"/>
    <w:rsid w:val="00796247"/>
    <w:rsid w:val="0079661B"/>
    <w:rsid w:val="007A255B"/>
    <w:rsid w:val="007A339B"/>
    <w:rsid w:val="007A35AB"/>
    <w:rsid w:val="007A685A"/>
    <w:rsid w:val="007B6627"/>
    <w:rsid w:val="007C0119"/>
    <w:rsid w:val="007C7904"/>
    <w:rsid w:val="007E130F"/>
    <w:rsid w:val="007E55F5"/>
    <w:rsid w:val="00800F45"/>
    <w:rsid w:val="00806DA8"/>
    <w:rsid w:val="00810EB5"/>
    <w:rsid w:val="00821485"/>
    <w:rsid w:val="00827AA9"/>
    <w:rsid w:val="00832106"/>
    <w:rsid w:val="00850D09"/>
    <w:rsid w:val="00852473"/>
    <w:rsid w:val="00856125"/>
    <w:rsid w:val="0086496F"/>
    <w:rsid w:val="00873EB2"/>
    <w:rsid w:val="00874C7B"/>
    <w:rsid w:val="008831FE"/>
    <w:rsid w:val="008835FF"/>
    <w:rsid w:val="008933B5"/>
    <w:rsid w:val="008A0B1D"/>
    <w:rsid w:val="008A4398"/>
    <w:rsid w:val="008A4623"/>
    <w:rsid w:val="008A6453"/>
    <w:rsid w:val="008B592C"/>
    <w:rsid w:val="008D3615"/>
    <w:rsid w:val="008D45C6"/>
    <w:rsid w:val="008E1DE5"/>
    <w:rsid w:val="008E6F94"/>
    <w:rsid w:val="00921832"/>
    <w:rsid w:val="00922587"/>
    <w:rsid w:val="00922B23"/>
    <w:rsid w:val="00937204"/>
    <w:rsid w:val="00941179"/>
    <w:rsid w:val="009428BD"/>
    <w:rsid w:val="00943825"/>
    <w:rsid w:val="009455CB"/>
    <w:rsid w:val="00951A55"/>
    <w:rsid w:val="009531FA"/>
    <w:rsid w:val="00953FF8"/>
    <w:rsid w:val="009636DF"/>
    <w:rsid w:val="00986081"/>
    <w:rsid w:val="009902A3"/>
    <w:rsid w:val="009C230E"/>
    <w:rsid w:val="009C7DCB"/>
    <w:rsid w:val="009D731E"/>
    <w:rsid w:val="009E4FE1"/>
    <w:rsid w:val="009F1CAA"/>
    <w:rsid w:val="009F36CC"/>
    <w:rsid w:val="009F5645"/>
    <w:rsid w:val="009F7535"/>
    <w:rsid w:val="00A00A6B"/>
    <w:rsid w:val="00A04B2F"/>
    <w:rsid w:val="00A2680E"/>
    <w:rsid w:val="00A46931"/>
    <w:rsid w:val="00A53364"/>
    <w:rsid w:val="00A64F29"/>
    <w:rsid w:val="00A75CA7"/>
    <w:rsid w:val="00A85A38"/>
    <w:rsid w:val="00A94F87"/>
    <w:rsid w:val="00AB66E4"/>
    <w:rsid w:val="00AC6E2D"/>
    <w:rsid w:val="00AD3062"/>
    <w:rsid w:val="00AD5676"/>
    <w:rsid w:val="00AF1384"/>
    <w:rsid w:val="00B03226"/>
    <w:rsid w:val="00B040F6"/>
    <w:rsid w:val="00B10D77"/>
    <w:rsid w:val="00B34CC0"/>
    <w:rsid w:val="00B363F2"/>
    <w:rsid w:val="00B4508C"/>
    <w:rsid w:val="00B47024"/>
    <w:rsid w:val="00B65E8F"/>
    <w:rsid w:val="00B73F1A"/>
    <w:rsid w:val="00B76F94"/>
    <w:rsid w:val="00B947CD"/>
    <w:rsid w:val="00B976D6"/>
    <w:rsid w:val="00BB1369"/>
    <w:rsid w:val="00BB7F0F"/>
    <w:rsid w:val="00BC6F1B"/>
    <w:rsid w:val="00BE0771"/>
    <w:rsid w:val="00BE22C9"/>
    <w:rsid w:val="00BF6225"/>
    <w:rsid w:val="00BF7F28"/>
    <w:rsid w:val="00C13DA2"/>
    <w:rsid w:val="00C14804"/>
    <w:rsid w:val="00C16508"/>
    <w:rsid w:val="00C31196"/>
    <w:rsid w:val="00C37E4B"/>
    <w:rsid w:val="00C42D67"/>
    <w:rsid w:val="00C453A7"/>
    <w:rsid w:val="00C505A2"/>
    <w:rsid w:val="00C5313C"/>
    <w:rsid w:val="00C66DB4"/>
    <w:rsid w:val="00C7208D"/>
    <w:rsid w:val="00C80E3D"/>
    <w:rsid w:val="00C90301"/>
    <w:rsid w:val="00CC290C"/>
    <w:rsid w:val="00CD09E9"/>
    <w:rsid w:val="00CD3B9F"/>
    <w:rsid w:val="00CF3AA0"/>
    <w:rsid w:val="00CF3FF5"/>
    <w:rsid w:val="00D0499E"/>
    <w:rsid w:val="00D07D99"/>
    <w:rsid w:val="00D14EBD"/>
    <w:rsid w:val="00D30C6B"/>
    <w:rsid w:val="00D505A5"/>
    <w:rsid w:val="00D57169"/>
    <w:rsid w:val="00D7234A"/>
    <w:rsid w:val="00D910EF"/>
    <w:rsid w:val="00D97B7B"/>
    <w:rsid w:val="00DA6530"/>
    <w:rsid w:val="00DB151F"/>
    <w:rsid w:val="00DB58B8"/>
    <w:rsid w:val="00DD2390"/>
    <w:rsid w:val="00DE118E"/>
    <w:rsid w:val="00DE2F3F"/>
    <w:rsid w:val="00DE66F5"/>
    <w:rsid w:val="00DE7470"/>
    <w:rsid w:val="00DF0CEE"/>
    <w:rsid w:val="00DF5F61"/>
    <w:rsid w:val="00DF6D40"/>
    <w:rsid w:val="00DF6FA5"/>
    <w:rsid w:val="00DF7019"/>
    <w:rsid w:val="00DF7385"/>
    <w:rsid w:val="00E070A0"/>
    <w:rsid w:val="00E2315C"/>
    <w:rsid w:val="00E2425E"/>
    <w:rsid w:val="00E321D7"/>
    <w:rsid w:val="00E63A35"/>
    <w:rsid w:val="00E8162E"/>
    <w:rsid w:val="00E9093F"/>
    <w:rsid w:val="00E94E45"/>
    <w:rsid w:val="00E96CF0"/>
    <w:rsid w:val="00EB1109"/>
    <w:rsid w:val="00EC0D8E"/>
    <w:rsid w:val="00EE507F"/>
    <w:rsid w:val="00EF00D2"/>
    <w:rsid w:val="00EF18D1"/>
    <w:rsid w:val="00EF3EB4"/>
    <w:rsid w:val="00EF7D30"/>
    <w:rsid w:val="00F05B03"/>
    <w:rsid w:val="00F07207"/>
    <w:rsid w:val="00F0780A"/>
    <w:rsid w:val="00F32E6B"/>
    <w:rsid w:val="00F81479"/>
    <w:rsid w:val="00F824D1"/>
    <w:rsid w:val="00F838C9"/>
    <w:rsid w:val="00F92D5F"/>
    <w:rsid w:val="00F93039"/>
    <w:rsid w:val="00F94933"/>
    <w:rsid w:val="00FA638E"/>
    <w:rsid w:val="00FB1330"/>
    <w:rsid w:val="00FB1600"/>
    <w:rsid w:val="00FB599F"/>
    <w:rsid w:val="00FD0826"/>
    <w:rsid w:val="00FD60BA"/>
    <w:rsid w:val="00FD68C4"/>
    <w:rsid w:val="00FE18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EA09E1-C615-478E-9C30-7DA927F2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507"/>
    <w:pPr>
      <w:spacing w:after="0" w:line="240" w:lineRule="atLeast"/>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062"/>
  </w:style>
  <w:style w:type="character" w:customStyle="1" w:styleId="HeaderChar">
    <w:name w:val="Header Char"/>
    <w:basedOn w:val="DefaultParagraphFont"/>
    <w:link w:val="Header"/>
    <w:uiPriority w:val="99"/>
    <w:rsid w:val="00AD3062"/>
    <w:rPr>
      <w:sz w:val="20"/>
      <w:szCs w:val="20"/>
    </w:rPr>
  </w:style>
  <w:style w:type="paragraph" w:styleId="Footer">
    <w:name w:val="footer"/>
    <w:basedOn w:val="Normal"/>
    <w:link w:val="FooterChar"/>
    <w:uiPriority w:val="99"/>
    <w:unhideWhenUsed/>
    <w:rsid w:val="00AD3062"/>
  </w:style>
  <w:style w:type="character" w:customStyle="1" w:styleId="FooterChar">
    <w:name w:val="Footer Char"/>
    <w:basedOn w:val="DefaultParagraphFont"/>
    <w:link w:val="Footer"/>
    <w:uiPriority w:val="99"/>
    <w:rsid w:val="00AD3062"/>
    <w:rPr>
      <w:sz w:val="20"/>
      <w:szCs w:val="20"/>
    </w:rPr>
  </w:style>
  <w:style w:type="character" w:styleId="Hyperlink">
    <w:name w:val="Hyperlink"/>
    <w:basedOn w:val="DefaultParagraphFont"/>
    <w:uiPriority w:val="99"/>
    <w:unhideWhenUsed/>
    <w:rsid w:val="00017C0F"/>
    <w:rPr>
      <w:color w:val="auto"/>
      <w:u w:val="none"/>
    </w:rPr>
  </w:style>
  <w:style w:type="character" w:styleId="FollowedHyperlink">
    <w:name w:val="FollowedHyperlink"/>
    <w:basedOn w:val="DefaultParagraphFont"/>
    <w:uiPriority w:val="99"/>
    <w:semiHidden/>
    <w:unhideWhenUsed/>
    <w:rsid w:val="00017C0F"/>
    <w:rPr>
      <w:color w:val="auto"/>
      <w:u w:val="none"/>
    </w:rPr>
  </w:style>
  <w:style w:type="paragraph" w:styleId="ListParagraph">
    <w:name w:val="List Paragraph"/>
    <w:basedOn w:val="Normal"/>
    <w:uiPriority w:val="34"/>
    <w:rsid w:val="002870E7"/>
    <w:pPr>
      <w:ind w:left="720"/>
      <w:contextualSpacing/>
    </w:pPr>
  </w:style>
  <w:style w:type="table" w:styleId="TableGrid">
    <w:name w:val="Table Grid"/>
    <w:basedOn w:val="TableNormal"/>
    <w:uiPriority w:val="59"/>
    <w:rsid w:val="00711927"/>
    <w:pPr>
      <w:spacing w:after="0" w:line="240" w:lineRule="auto"/>
    </w:pPr>
    <w:tblPr>
      <w:tblBorders>
        <w:top w:val="single" w:sz="4" w:space="0" w:color="auto"/>
        <w:bottom w:val="single" w:sz="4" w:space="0" w:color="auto"/>
        <w:insideH w:val="single" w:sz="4" w:space="0" w:color="auto"/>
      </w:tblBorders>
      <w:tblCellMar>
        <w:top w:w="72" w:type="dxa"/>
        <w:left w:w="0" w:type="dxa"/>
        <w:bottom w:w="72" w:type="dxa"/>
        <w:right w:w="0" w:type="dxa"/>
      </w:tblCellMar>
    </w:tblPr>
  </w:style>
  <w:style w:type="paragraph" w:customStyle="1" w:styleId="Bullets">
    <w:name w:val="Bullets"/>
    <w:basedOn w:val="ListParagraph"/>
    <w:uiPriority w:val="9"/>
    <w:qFormat/>
    <w:rsid w:val="00FD68C4"/>
    <w:pPr>
      <w:numPr>
        <w:numId w:val="1"/>
      </w:numPr>
      <w:contextualSpacing w:val="0"/>
    </w:pPr>
  </w:style>
  <w:style w:type="paragraph" w:customStyle="1" w:styleId="AddressInformation">
    <w:name w:val="Address Information"/>
    <w:basedOn w:val="Normal"/>
    <w:uiPriority w:val="9"/>
    <w:rsid w:val="00AD3062"/>
    <w:pPr>
      <w:spacing w:line="200" w:lineRule="atLeast"/>
    </w:pPr>
    <w:rPr>
      <w:sz w:val="16"/>
      <w:szCs w:val="16"/>
    </w:rPr>
  </w:style>
  <w:style w:type="paragraph" w:customStyle="1" w:styleId="Numbers">
    <w:name w:val="Numbers"/>
    <w:basedOn w:val="ListParagraph"/>
    <w:uiPriority w:val="9"/>
    <w:qFormat/>
    <w:rsid w:val="000930FF"/>
    <w:pPr>
      <w:numPr>
        <w:numId w:val="2"/>
      </w:numPr>
    </w:pPr>
  </w:style>
  <w:style w:type="paragraph" w:customStyle="1" w:styleId="BusinessUnit">
    <w:name w:val="Business Unit"/>
    <w:basedOn w:val="AddressInformation"/>
    <w:uiPriority w:val="9"/>
    <w:rsid w:val="003249D6"/>
    <w:rPr>
      <w:b/>
      <w:bCs/>
      <w:color w:val="0460A9"/>
    </w:rPr>
  </w:style>
  <w:style w:type="paragraph" w:customStyle="1" w:styleId="Disclaimer">
    <w:name w:val="Disclaimer"/>
    <w:basedOn w:val="Normal"/>
    <w:rsid w:val="00E8162E"/>
    <w:pPr>
      <w:tabs>
        <w:tab w:val="left" w:pos="0"/>
      </w:tabs>
      <w:spacing w:line="240" w:lineRule="auto"/>
      <w:jc w:val="both"/>
    </w:pPr>
    <w:rPr>
      <w:rFonts w:ascii="Sabon" w:eastAsia="Times New Roman" w:hAnsi="Sabon" w:cs="Times New Roman"/>
      <w:sz w:val="22"/>
      <w:szCs w:val="22"/>
    </w:rPr>
  </w:style>
  <w:style w:type="paragraph" w:customStyle="1" w:styleId="SubheadText">
    <w:name w:val="SubheadText"/>
    <w:basedOn w:val="Normal"/>
    <w:rsid w:val="00E8162E"/>
    <w:pPr>
      <w:tabs>
        <w:tab w:val="left" w:pos="0"/>
      </w:tabs>
      <w:spacing w:line="240" w:lineRule="auto"/>
    </w:pPr>
    <w:rPr>
      <w:rFonts w:ascii="News Gothic MT" w:eastAsia="Times New Roman" w:hAnsi="News Gothic MT" w:cs="Times New Roman"/>
      <w:b/>
      <w:bCs/>
      <w:sz w:val="22"/>
      <w:szCs w:val="22"/>
    </w:rPr>
  </w:style>
  <w:style w:type="paragraph" w:styleId="NormalWeb">
    <w:name w:val="Normal (Web)"/>
    <w:basedOn w:val="Normal"/>
    <w:rsid w:val="00E8162E"/>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Subhead">
    <w:name w:val="Subhead"/>
    <w:basedOn w:val="Normal"/>
    <w:next w:val="Normal"/>
    <w:uiPriority w:val="9"/>
    <w:qFormat/>
    <w:rsid w:val="00BB7F0F"/>
    <w:pPr>
      <w:keepNext/>
      <w:keepLines/>
    </w:pPr>
    <w:rPr>
      <w:b/>
    </w:rPr>
  </w:style>
  <w:style w:type="character" w:styleId="CommentReference">
    <w:name w:val="annotation reference"/>
    <w:basedOn w:val="DefaultParagraphFont"/>
    <w:semiHidden/>
    <w:rsid w:val="00784691"/>
    <w:rPr>
      <w:sz w:val="16"/>
      <w:szCs w:val="16"/>
    </w:rPr>
  </w:style>
  <w:style w:type="paragraph" w:styleId="CommentText">
    <w:name w:val="annotation text"/>
    <w:basedOn w:val="Normal"/>
    <w:link w:val="CommentTextChar"/>
    <w:semiHidden/>
    <w:rsid w:val="00784691"/>
    <w:pPr>
      <w:spacing w:line="240" w:lineRule="auto"/>
    </w:pPr>
    <w:rPr>
      <w:rFonts w:ascii="Arial" w:eastAsia="Times New Roman" w:hAnsi="Arial" w:cs="Times New Roman"/>
    </w:rPr>
  </w:style>
  <w:style w:type="character" w:customStyle="1" w:styleId="CommentTextChar">
    <w:name w:val="Comment Text Char"/>
    <w:basedOn w:val="DefaultParagraphFont"/>
    <w:link w:val="CommentText"/>
    <w:semiHidden/>
    <w:rsid w:val="0078469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846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6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255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A255B"/>
    <w:rPr>
      <w:rFonts w:ascii="Arial" w:eastAsia="Times New Roman" w:hAnsi="Arial" w:cs="Times New Roman"/>
      <w:b/>
      <w:bCs/>
      <w:sz w:val="20"/>
      <w:szCs w:val="20"/>
    </w:rPr>
  </w:style>
  <w:style w:type="paragraph" w:customStyle="1" w:styleId="Default">
    <w:name w:val="Default"/>
    <w:basedOn w:val="Normal"/>
    <w:uiPriority w:val="99"/>
    <w:rsid w:val="005741C0"/>
    <w:pPr>
      <w:autoSpaceDE w:val="0"/>
      <w:autoSpaceDN w:val="0"/>
      <w:spacing w:line="240" w:lineRule="auto"/>
    </w:pPr>
    <w:rPr>
      <w:rFonts w:ascii="News Gothic MT" w:hAnsi="News Gothic MT" w:cs="Times New Roman"/>
      <w:color w:val="000000"/>
      <w:sz w:val="24"/>
      <w:szCs w:val="24"/>
    </w:rPr>
  </w:style>
  <w:style w:type="paragraph" w:styleId="Revision">
    <w:name w:val="Revision"/>
    <w:hidden/>
    <w:uiPriority w:val="99"/>
    <w:semiHidden/>
    <w:rsid w:val="005C53A1"/>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2066">
      <w:bodyDiv w:val="1"/>
      <w:marLeft w:val="0"/>
      <w:marRight w:val="0"/>
      <w:marTop w:val="0"/>
      <w:marBottom w:val="0"/>
      <w:divBdr>
        <w:top w:val="none" w:sz="0" w:space="0" w:color="auto"/>
        <w:left w:val="none" w:sz="0" w:space="0" w:color="auto"/>
        <w:bottom w:val="none" w:sz="0" w:space="0" w:color="auto"/>
        <w:right w:val="none" w:sz="0" w:space="0" w:color="auto"/>
      </w:divBdr>
    </w:div>
    <w:div w:id="173112024">
      <w:bodyDiv w:val="1"/>
      <w:marLeft w:val="0"/>
      <w:marRight w:val="0"/>
      <w:marTop w:val="0"/>
      <w:marBottom w:val="0"/>
      <w:divBdr>
        <w:top w:val="none" w:sz="0" w:space="0" w:color="auto"/>
        <w:left w:val="none" w:sz="0" w:space="0" w:color="auto"/>
        <w:bottom w:val="none" w:sz="0" w:space="0" w:color="auto"/>
        <w:right w:val="none" w:sz="0" w:space="0" w:color="auto"/>
      </w:divBdr>
    </w:div>
    <w:div w:id="256525176">
      <w:bodyDiv w:val="1"/>
      <w:marLeft w:val="0"/>
      <w:marRight w:val="0"/>
      <w:marTop w:val="0"/>
      <w:marBottom w:val="0"/>
      <w:divBdr>
        <w:top w:val="none" w:sz="0" w:space="0" w:color="auto"/>
        <w:left w:val="none" w:sz="0" w:space="0" w:color="auto"/>
        <w:bottom w:val="none" w:sz="0" w:space="0" w:color="auto"/>
        <w:right w:val="none" w:sz="0" w:space="0" w:color="auto"/>
      </w:divBdr>
    </w:div>
    <w:div w:id="495994854">
      <w:bodyDiv w:val="1"/>
      <w:marLeft w:val="0"/>
      <w:marRight w:val="0"/>
      <w:marTop w:val="0"/>
      <w:marBottom w:val="0"/>
      <w:divBdr>
        <w:top w:val="none" w:sz="0" w:space="0" w:color="auto"/>
        <w:left w:val="none" w:sz="0" w:space="0" w:color="auto"/>
        <w:bottom w:val="none" w:sz="0" w:space="0" w:color="auto"/>
        <w:right w:val="none" w:sz="0" w:space="0" w:color="auto"/>
      </w:divBdr>
    </w:div>
    <w:div w:id="1299526648">
      <w:bodyDiv w:val="1"/>
      <w:marLeft w:val="0"/>
      <w:marRight w:val="0"/>
      <w:marTop w:val="0"/>
      <w:marBottom w:val="0"/>
      <w:divBdr>
        <w:top w:val="none" w:sz="0" w:space="0" w:color="auto"/>
        <w:left w:val="none" w:sz="0" w:space="0" w:color="auto"/>
        <w:bottom w:val="none" w:sz="0" w:space="0" w:color="auto"/>
        <w:right w:val="none" w:sz="0" w:space="0" w:color="auto"/>
      </w:divBdr>
    </w:div>
    <w:div w:id="1364552941">
      <w:bodyDiv w:val="1"/>
      <w:marLeft w:val="0"/>
      <w:marRight w:val="0"/>
      <w:marTop w:val="0"/>
      <w:marBottom w:val="0"/>
      <w:divBdr>
        <w:top w:val="none" w:sz="0" w:space="0" w:color="auto"/>
        <w:left w:val="none" w:sz="0" w:space="0" w:color="auto"/>
        <w:bottom w:val="none" w:sz="0" w:space="0" w:color="auto"/>
        <w:right w:val="none" w:sz="0" w:space="0" w:color="auto"/>
      </w:divBdr>
    </w:div>
    <w:div w:id="16135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rtis.com/" TargetMode="External"/><Relationship Id="rId13" Type="http://schemas.openxmlformats.org/officeDocument/2006/relationships/hyperlink" Target="https://www.mssociety.org.uk/earlytreat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tionalmssociety.org/Symptoms-Diagnosis/MS-Symptoms" TargetMode="External"/><Relationship Id="rId17" Type="http://schemas.openxmlformats.org/officeDocument/2006/relationships/hyperlink" Target="https://www.msif.org/wp-content/uploads/2014/09/Atlas-of-MS.pdf" TargetMode="External"/><Relationship Id="rId2" Type="http://schemas.openxmlformats.org/officeDocument/2006/relationships/numbering" Target="numbering.xml"/><Relationship Id="rId16" Type="http://schemas.openxmlformats.org/officeDocument/2006/relationships/hyperlink" Target="http://www.ema.europa.eu/docs/en_GB/document_library/Scientific_guideline/2012/10/WC500133438.pdf%20(link%20is%20external).%20Accessed%20April%2020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relations@novartis.com" TargetMode="External"/><Relationship Id="rId5" Type="http://schemas.openxmlformats.org/officeDocument/2006/relationships/webSettings" Target="webSettings.xml"/><Relationship Id="rId15" Type="http://schemas.openxmlformats.org/officeDocument/2006/relationships/hyperlink" Target="http://www.ncbi.nlm.nih.gov/pubmedhealth/PMH0001747/" TargetMode="External"/><Relationship Id="rId10" Type="http://schemas.openxmlformats.org/officeDocument/2006/relationships/hyperlink" Target="http://www.novartis.com/news/media-librar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witter.com/novartis" TargetMode="External"/><Relationship Id="rId14" Type="http://schemas.openxmlformats.org/officeDocument/2006/relationships/hyperlink" Target="http://www.nationalmssociety.org/What-is-MS/Types-of-MS/Secondary-progressive-MS/Frequently-Asked-Questions-about-SP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ovartis 2016">
  <a:themeElements>
    <a:clrScheme name="Novartis 2016">
      <a:dk1>
        <a:srgbClr val="000000"/>
      </a:dk1>
      <a:lt1>
        <a:srgbClr val="FFFFFF"/>
      </a:lt1>
      <a:dk2>
        <a:srgbClr val="404040"/>
      </a:dk2>
      <a:lt2>
        <a:srgbClr val="CCCCCC"/>
      </a:lt2>
      <a:accent1>
        <a:srgbClr val="0460A9"/>
      </a:accent1>
      <a:accent2>
        <a:srgbClr val="E74A21"/>
      </a:accent2>
      <a:accent3>
        <a:srgbClr val="EC9A1E"/>
      </a:accent3>
      <a:accent4>
        <a:srgbClr val="8D1F1B"/>
      </a:accent4>
      <a:accent5>
        <a:srgbClr val="7F7F7F"/>
      </a:accent5>
      <a:accent6>
        <a:srgbClr val="404040"/>
      </a:accent6>
      <a:hlink>
        <a:srgbClr val="0460A9"/>
      </a:hlink>
      <a:folHlink>
        <a:srgbClr val="0460A9"/>
      </a:folHlink>
    </a:clrScheme>
    <a:fontScheme name="Novartis 2016">
      <a:majorFont>
        <a:latin typeface="Arial"/>
        <a:ea typeface=""/>
        <a:cs typeface=""/>
      </a:majorFont>
      <a:minorFont>
        <a:latin typeface="Arial"/>
        <a:ea typeface=""/>
        <a:cs typeface=""/>
      </a:minorFont>
    </a:fontScheme>
    <a:fmtScheme name="Novartis 2016">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9A4D-E9D2-4AD9-AB5F-8943180F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2671</Words>
  <Characters>14426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Novartis Letter</vt:lpstr>
    </vt:vector>
  </TitlesOfParts>
  <Company>Novartis</Company>
  <LinksUpToDate>false</LinksUpToDate>
  <CharactersWithSpaces>17063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Novartis Letter</dc:title>
  <dc:creator>Novartis</dc:creator>
  <cp:lastModifiedBy>Matina Tzortzi</cp:lastModifiedBy>
  <cp:revision>11</cp:revision>
  <cp:lastPrinted>2016-09-01T14:07:00Z</cp:lastPrinted>
  <dcterms:created xsi:type="dcterms:W3CDTF">2016-09-21T17:26:00Z</dcterms:created>
  <dcterms:modified xsi:type="dcterms:W3CDTF">2016-09-23T12:54:00Z</dcterms:modified>
</cp:coreProperties>
</file>